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3C" w:rsidRPr="00AF652D" w:rsidRDefault="00020C3C" w:rsidP="00AB2326">
      <w:pPr>
        <w:tabs>
          <w:tab w:val="left" w:pos="2694"/>
        </w:tabs>
        <w:spacing w:after="0" w:line="240" w:lineRule="auto"/>
        <w:rPr>
          <w:rFonts w:ascii="Arial" w:hAnsi="Arial" w:cs="Arial"/>
          <w:b/>
          <w:sz w:val="24"/>
          <w:szCs w:val="24"/>
        </w:rPr>
      </w:pPr>
      <w:r w:rsidRPr="00AF652D">
        <w:rPr>
          <w:rFonts w:ascii="Arial" w:hAnsi="Arial" w:cs="Arial"/>
          <w:b/>
          <w:sz w:val="24"/>
          <w:szCs w:val="24"/>
        </w:rPr>
        <w:t>ANED 2016-17 -Task Social Pillar (focus topics)</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tabs>
          <w:tab w:val="left" w:pos="2694"/>
        </w:tabs>
        <w:spacing w:after="0" w:line="240" w:lineRule="auto"/>
        <w:rPr>
          <w:rFonts w:ascii="Arial" w:hAnsi="Arial" w:cs="Arial"/>
          <w:b/>
          <w:sz w:val="24"/>
          <w:szCs w:val="24"/>
        </w:rPr>
      </w:pPr>
      <w:r w:rsidRPr="00AF652D">
        <w:rPr>
          <w:rFonts w:ascii="Arial" w:hAnsi="Arial" w:cs="Arial"/>
          <w:b/>
          <w:sz w:val="24"/>
          <w:szCs w:val="24"/>
        </w:rPr>
        <w:t>Country report</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tabs>
          <w:tab w:val="left" w:pos="2694"/>
        </w:tabs>
        <w:spacing w:after="0" w:line="240" w:lineRule="auto"/>
        <w:rPr>
          <w:rFonts w:ascii="Arial" w:hAnsi="Arial" w:cs="Arial"/>
          <w:sz w:val="24"/>
          <w:szCs w:val="24"/>
        </w:rPr>
      </w:pPr>
      <w:r w:rsidRPr="00AF652D">
        <w:rPr>
          <w:rFonts w:ascii="Arial" w:hAnsi="Arial" w:cs="Arial"/>
          <w:sz w:val="24"/>
          <w:szCs w:val="24"/>
        </w:rPr>
        <w:t>Country:</w:t>
      </w:r>
      <w:r w:rsidR="004514AB" w:rsidRPr="00AF652D">
        <w:rPr>
          <w:rFonts w:ascii="Arial" w:hAnsi="Arial" w:cs="Arial"/>
          <w:sz w:val="24"/>
          <w:szCs w:val="24"/>
        </w:rPr>
        <w:t xml:space="preserve"> Hungary</w:t>
      </w:r>
    </w:p>
    <w:p w:rsidR="00020C3C" w:rsidRPr="00AF652D" w:rsidRDefault="00020C3C" w:rsidP="00AB2326">
      <w:pPr>
        <w:tabs>
          <w:tab w:val="left" w:pos="2694"/>
        </w:tabs>
        <w:spacing w:after="0" w:line="240" w:lineRule="auto"/>
        <w:rPr>
          <w:rFonts w:ascii="Arial" w:hAnsi="Arial" w:cs="Arial"/>
          <w:sz w:val="24"/>
          <w:szCs w:val="24"/>
        </w:rPr>
      </w:pPr>
    </w:p>
    <w:p w:rsidR="003538CE" w:rsidRPr="00AF652D" w:rsidRDefault="00020C3C" w:rsidP="00AB2326">
      <w:pPr>
        <w:tabs>
          <w:tab w:val="left" w:pos="2694"/>
        </w:tabs>
        <w:spacing w:after="0" w:line="240" w:lineRule="auto"/>
        <w:rPr>
          <w:rFonts w:ascii="Arial" w:hAnsi="Arial" w:cs="Arial"/>
          <w:sz w:val="24"/>
          <w:szCs w:val="24"/>
        </w:rPr>
      </w:pPr>
      <w:r w:rsidRPr="00AF652D">
        <w:rPr>
          <w:rFonts w:ascii="Arial" w:hAnsi="Arial" w:cs="Arial"/>
          <w:sz w:val="24"/>
          <w:szCs w:val="24"/>
        </w:rPr>
        <w:t>Author(s):</w:t>
      </w:r>
      <w:r w:rsidR="00C20502" w:rsidRPr="00AF652D">
        <w:rPr>
          <w:rFonts w:ascii="Arial" w:hAnsi="Arial" w:cs="Arial"/>
          <w:sz w:val="24"/>
          <w:szCs w:val="24"/>
        </w:rPr>
        <w:t xml:space="preserve"> </w:t>
      </w:r>
      <w:r w:rsidR="004514AB" w:rsidRPr="00AF652D">
        <w:rPr>
          <w:rFonts w:ascii="Arial" w:hAnsi="Arial" w:cs="Arial"/>
          <w:sz w:val="24"/>
          <w:szCs w:val="24"/>
        </w:rPr>
        <w:t>Tamás</w:t>
      </w:r>
      <w:r w:rsidR="00EF38D6">
        <w:rPr>
          <w:rFonts w:ascii="Arial" w:hAnsi="Arial" w:cs="Arial"/>
          <w:sz w:val="24"/>
          <w:szCs w:val="24"/>
        </w:rPr>
        <w:t xml:space="preserve"> </w:t>
      </w:r>
      <w:r w:rsidR="004514AB" w:rsidRPr="00AF652D">
        <w:rPr>
          <w:rFonts w:ascii="Arial" w:hAnsi="Arial" w:cs="Arial"/>
          <w:sz w:val="24"/>
          <w:szCs w:val="24"/>
        </w:rPr>
        <w:t xml:space="preserve">Gyulavári, </w:t>
      </w:r>
      <w:proofErr w:type="spellStart"/>
      <w:r w:rsidR="004514AB" w:rsidRPr="00AF652D">
        <w:rPr>
          <w:rFonts w:ascii="Arial" w:hAnsi="Arial" w:cs="Arial"/>
          <w:sz w:val="24"/>
          <w:szCs w:val="24"/>
        </w:rPr>
        <w:t>Szilvia</w:t>
      </w:r>
      <w:proofErr w:type="spellEnd"/>
      <w:r w:rsidR="00EF38D6">
        <w:rPr>
          <w:rFonts w:ascii="Arial" w:hAnsi="Arial" w:cs="Arial"/>
          <w:sz w:val="24"/>
          <w:szCs w:val="24"/>
        </w:rPr>
        <w:t xml:space="preserve"> </w:t>
      </w:r>
      <w:bookmarkStart w:id="0" w:name="_GoBack"/>
      <w:bookmarkEnd w:id="0"/>
      <w:proofErr w:type="spellStart"/>
      <w:r w:rsidR="004514AB" w:rsidRPr="00AF652D">
        <w:rPr>
          <w:rFonts w:ascii="Arial" w:hAnsi="Arial" w:cs="Arial"/>
          <w:sz w:val="24"/>
          <w:szCs w:val="24"/>
        </w:rPr>
        <w:t>Halmos</w:t>
      </w:r>
      <w:proofErr w:type="spellEnd"/>
    </w:p>
    <w:p w:rsidR="003538CE" w:rsidRPr="00AF652D" w:rsidRDefault="003538CE" w:rsidP="00AB2326">
      <w:pPr>
        <w:tabs>
          <w:tab w:val="left" w:pos="2694"/>
        </w:tabs>
        <w:spacing w:after="0" w:line="240" w:lineRule="auto"/>
        <w:rPr>
          <w:rFonts w:ascii="Arial" w:hAnsi="Arial" w:cs="Arial"/>
          <w:sz w:val="24"/>
          <w:szCs w:val="24"/>
        </w:rPr>
      </w:pPr>
      <w:r w:rsidRPr="00AF652D">
        <w:rPr>
          <w:rFonts w:ascii="Arial" w:hAnsi="Arial" w:cs="Arial"/>
          <w:sz w:val="24"/>
          <w:szCs w:val="24"/>
        </w:rPr>
        <w:br w:type="page"/>
      </w:r>
    </w:p>
    <w:p w:rsidR="00020C3C" w:rsidRPr="00AF652D" w:rsidRDefault="003538CE" w:rsidP="00AB2326">
      <w:pPr>
        <w:tabs>
          <w:tab w:val="left" w:pos="2694"/>
        </w:tabs>
        <w:spacing w:after="0" w:line="240" w:lineRule="auto"/>
        <w:rPr>
          <w:rFonts w:ascii="Arial" w:hAnsi="Arial" w:cs="Arial"/>
          <w:b/>
          <w:sz w:val="24"/>
          <w:szCs w:val="24"/>
        </w:rPr>
      </w:pPr>
      <w:r w:rsidRPr="00AF652D">
        <w:rPr>
          <w:rFonts w:ascii="Arial" w:hAnsi="Arial" w:cs="Arial"/>
          <w:b/>
          <w:sz w:val="24"/>
          <w:szCs w:val="24"/>
        </w:rPr>
        <w:lastRenderedPageBreak/>
        <w:t>Contents</w:t>
      </w:r>
    </w:p>
    <w:p w:rsidR="003538CE" w:rsidRPr="00AF652D" w:rsidRDefault="003538CE" w:rsidP="00AB2326">
      <w:pPr>
        <w:tabs>
          <w:tab w:val="left" w:pos="2694"/>
        </w:tabs>
        <w:spacing w:after="0" w:line="240" w:lineRule="auto"/>
        <w:rPr>
          <w:rFonts w:ascii="Arial" w:hAnsi="Arial" w:cs="Arial"/>
          <w:sz w:val="24"/>
          <w:szCs w:val="24"/>
        </w:rPr>
      </w:pPr>
    </w:p>
    <w:p w:rsidR="00CC4D0B" w:rsidRPr="00AF652D" w:rsidRDefault="00E63CE2">
      <w:pPr>
        <w:pStyle w:val="TOC1"/>
        <w:tabs>
          <w:tab w:val="right" w:leader="dot" w:pos="9016"/>
        </w:tabs>
        <w:rPr>
          <w:rFonts w:asciiTheme="minorHAnsi" w:eastAsiaTheme="minorEastAsia" w:hAnsiTheme="minorHAnsi"/>
          <w:b w:val="0"/>
          <w:noProof/>
          <w:szCs w:val="24"/>
          <w:lang w:eastAsia="nl-NL"/>
        </w:rPr>
      </w:pPr>
      <w:r w:rsidRPr="00AF652D">
        <w:rPr>
          <w:rFonts w:cs="Arial"/>
          <w:b w:val="0"/>
          <w:szCs w:val="24"/>
        </w:rPr>
        <w:fldChar w:fldCharType="begin"/>
      </w:r>
      <w:r w:rsidR="005B7CE2" w:rsidRPr="00AF652D">
        <w:rPr>
          <w:rFonts w:cs="Arial"/>
          <w:b w:val="0"/>
          <w:szCs w:val="24"/>
        </w:rPr>
        <w:instrText xml:space="preserve"> TOC \o "1-1" \h \z \u </w:instrText>
      </w:r>
      <w:r w:rsidRPr="00AF652D">
        <w:rPr>
          <w:rFonts w:cs="Arial"/>
          <w:b w:val="0"/>
          <w:szCs w:val="24"/>
        </w:rPr>
        <w:fldChar w:fldCharType="separate"/>
      </w:r>
      <w:hyperlink w:anchor="_Toc500858519" w:history="1">
        <w:r w:rsidR="00CC4D0B" w:rsidRPr="00AF652D">
          <w:rPr>
            <w:rStyle w:val="Hyperlink"/>
            <w:rFonts w:cs="Arial"/>
            <w:noProof/>
            <w:sz w:val="24"/>
            <w:szCs w:val="24"/>
          </w:rPr>
          <w:t>1</w:t>
        </w:r>
        <w:r w:rsidR="00CC4D0B" w:rsidRPr="00AF652D">
          <w:rPr>
            <w:rFonts w:asciiTheme="minorHAnsi" w:eastAsiaTheme="minorEastAsia" w:hAnsiTheme="minorHAnsi"/>
            <w:b w:val="0"/>
            <w:noProof/>
            <w:szCs w:val="24"/>
            <w:lang w:eastAsia="nl-NL"/>
          </w:rPr>
          <w:tab/>
        </w:r>
        <w:r w:rsidR="00CC4D0B" w:rsidRPr="00AF652D">
          <w:rPr>
            <w:rStyle w:val="Hyperlink"/>
            <w:rFonts w:cs="Arial"/>
            <w:noProof/>
            <w:sz w:val="24"/>
            <w:szCs w:val="24"/>
          </w:rPr>
          <w:t>Skills in transition to the labour market</w:t>
        </w:r>
        <w:r w:rsidR="00CC4D0B" w:rsidRPr="00AF652D">
          <w:rPr>
            <w:noProof/>
            <w:webHidden/>
            <w:szCs w:val="24"/>
          </w:rPr>
          <w:tab/>
        </w:r>
        <w:r w:rsidR="00CC4D0B" w:rsidRPr="00AF652D">
          <w:rPr>
            <w:noProof/>
            <w:webHidden/>
            <w:szCs w:val="24"/>
          </w:rPr>
          <w:fldChar w:fldCharType="begin"/>
        </w:r>
        <w:r w:rsidR="00CC4D0B" w:rsidRPr="00AF652D">
          <w:rPr>
            <w:noProof/>
            <w:webHidden/>
            <w:szCs w:val="24"/>
          </w:rPr>
          <w:instrText xml:space="preserve"> PAGEREF _Toc500858519 \h </w:instrText>
        </w:r>
        <w:r w:rsidR="00CC4D0B" w:rsidRPr="00AF652D">
          <w:rPr>
            <w:noProof/>
            <w:webHidden/>
            <w:szCs w:val="24"/>
          </w:rPr>
        </w:r>
        <w:r w:rsidR="00CC4D0B" w:rsidRPr="00AF652D">
          <w:rPr>
            <w:noProof/>
            <w:webHidden/>
            <w:szCs w:val="24"/>
          </w:rPr>
          <w:fldChar w:fldCharType="separate"/>
        </w:r>
        <w:r w:rsidR="00EF38D6">
          <w:rPr>
            <w:noProof/>
            <w:webHidden/>
            <w:szCs w:val="24"/>
          </w:rPr>
          <w:t>1</w:t>
        </w:r>
        <w:r w:rsidR="00CC4D0B" w:rsidRPr="00AF652D">
          <w:rPr>
            <w:noProof/>
            <w:webHidden/>
            <w:szCs w:val="24"/>
          </w:rPr>
          <w:fldChar w:fldCharType="end"/>
        </w:r>
      </w:hyperlink>
    </w:p>
    <w:p w:rsidR="00CC4D0B" w:rsidRPr="00AF652D" w:rsidRDefault="00EF38D6">
      <w:pPr>
        <w:pStyle w:val="TOC1"/>
        <w:tabs>
          <w:tab w:val="right" w:leader="dot" w:pos="9016"/>
        </w:tabs>
        <w:rPr>
          <w:rFonts w:asciiTheme="minorHAnsi" w:eastAsiaTheme="minorEastAsia" w:hAnsiTheme="minorHAnsi"/>
          <w:b w:val="0"/>
          <w:noProof/>
          <w:szCs w:val="24"/>
          <w:lang w:eastAsia="nl-NL"/>
        </w:rPr>
      </w:pPr>
      <w:hyperlink w:anchor="_Toc500858520" w:history="1">
        <w:r w:rsidR="00CC4D0B" w:rsidRPr="00AF652D">
          <w:rPr>
            <w:rStyle w:val="Hyperlink"/>
            <w:rFonts w:cs="Arial"/>
            <w:noProof/>
            <w:sz w:val="24"/>
            <w:szCs w:val="24"/>
          </w:rPr>
          <w:t>2</w:t>
        </w:r>
        <w:r w:rsidR="00CC4D0B" w:rsidRPr="00AF652D">
          <w:rPr>
            <w:rFonts w:asciiTheme="minorHAnsi" w:eastAsiaTheme="minorEastAsia" w:hAnsiTheme="minorHAnsi"/>
            <w:b w:val="0"/>
            <w:noProof/>
            <w:szCs w:val="24"/>
            <w:lang w:eastAsia="nl-NL"/>
          </w:rPr>
          <w:tab/>
        </w:r>
        <w:r w:rsidR="00CC4D0B" w:rsidRPr="00AF652D">
          <w:rPr>
            <w:rStyle w:val="Hyperlink"/>
            <w:rFonts w:cs="Arial"/>
            <w:noProof/>
            <w:sz w:val="24"/>
            <w:szCs w:val="24"/>
          </w:rPr>
          <w:t>Access to the open labour market</w:t>
        </w:r>
        <w:r w:rsidR="00CC4D0B" w:rsidRPr="00AF652D">
          <w:rPr>
            <w:noProof/>
            <w:webHidden/>
            <w:szCs w:val="24"/>
          </w:rPr>
          <w:tab/>
        </w:r>
        <w:r w:rsidR="00CC4D0B" w:rsidRPr="00AF652D">
          <w:rPr>
            <w:noProof/>
            <w:webHidden/>
            <w:szCs w:val="24"/>
          </w:rPr>
          <w:fldChar w:fldCharType="begin"/>
        </w:r>
        <w:r w:rsidR="00CC4D0B" w:rsidRPr="00AF652D">
          <w:rPr>
            <w:noProof/>
            <w:webHidden/>
            <w:szCs w:val="24"/>
          </w:rPr>
          <w:instrText xml:space="preserve"> PAGEREF _Toc500858520 \h </w:instrText>
        </w:r>
        <w:r w:rsidR="00CC4D0B" w:rsidRPr="00AF652D">
          <w:rPr>
            <w:noProof/>
            <w:webHidden/>
            <w:szCs w:val="24"/>
          </w:rPr>
        </w:r>
        <w:r w:rsidR="00CC4D0B" w:rsidRPr="00AF652D">
          <w:rPr>
            <w:noProof/>
            <w:webHidden/>
            <w:szCs w:val="24"/>
          </w:rPr>
          <w:fldChar w:fldCharType="separate"/>
        </w:r>
        <w:r>
          <w:rPr>
            <w:noProof/>
            <w:webHidden/>
            <w:szCs w:val="24"/>
          </w:rPr>
          <w:t>1</w:t>
        </w:r>
        <w:r w:rsidR="00CC4D0B" w:rsidRPr="00AF652D">
          <w:rPr>
            <w:noProof/>
            <w:webHidden/>
            <w:szCs w:val="24"/>
          </w:rPr>
          <w:fldChar w:fldCharType="end"/>
        </w:r>
      </w:hyperlink>
    </w:p>
    <w:p w:rsidR="00CC4D0B" w:rsidRPr="00AF652D" w:rsidRDefault="00EF38D6">
      <w:pPr>
        <w:pStyle w:val="TOC1"/>
        <w:tabs>
          <w:tab w:val="right" w:leader="dot" w:pos="9016"/>
        </w:tabs>
        <w:rPr>
          <w:rFonts w:asciiTheme="minorHAnsi" w:eastAsiaTheme="minorEastAsia" w:hAnsiTheme="minorHAnsi"/>
          <w:b w:val="0"/>
          <w:noProof/>
          <w:szCs w:val="24"/>
          <w:lang w:eastAsia="nl-NL"/>
        </w:rPr>
      </w:pPr>
      <w:hyperlink w:anchor="_Toc500858521" w:history="1">
        <w:r w:rsidR="00CC4D0B" w:rsidRPr="00AF652D">
          <w:rPr>
            <w:rStyle w:val="Hyperlink"/>
            <w:noProof/>
            <w:sz w:val="24"/>
            <w:szCs w:val="24"/>
          </w:rPr>
          <w:t>3</w:t>
        </w:r>
        <w:r w:rsidR="00CC4D0B" w:rsidRPr="00AF652D">
          <w:rPr>
            <w:rFonts w:asciiTheme="minorHAnsi" w:eastAsiaTheme="minorEastAsia" w:hAnsiTheme="minorHAnsi"/>
            <w:b w:val="0"/>
            <w:noProof/>
            <w:szCs w:val="24"/>
            <w:lang w:eastAsia="nl-NL"/>
          </w:rPr>
          <w:tab/>
        </w:r>
        <w:r w:rsidR="00CC4D0B" w:rsidRPr="00AF652D">
          <w:rPr>
            <w:rStyle w:val="Hyperlink"/>
            <w:noProof/>
            <w:sz w:val="24"/>
            <w:szCs w:val="24"/>
          </w:rPr>
          <w:t>Benefit caps and transitions</w:t>
        </w:r>
        <w:r w:rsidR="00CC4D0B" w:rsidRPr="00AF652D">
          <w:rPr>
            <w:noProof/>
            <w:webHidden/>
            <w:szCs w:val="24"/>
          </w:rPr>
          <w:tab/>
        </w:r>
        <w:r w:rsidR="00CC4D0B" w:rsidRPr="00AF652D">
          <w:rPr>
            <w:noProof/>
            <w:webHidden/>
            <w:szCs w:val="24"/>
          </w:rPr>
          <w:fldChar w:fldCharType="begin"/>
        </w:r>
        <w:r w:rsidR="00CC4D0B" w:rsidRPr="00AF652D">
          <w:rPr>
            <w:noProof/>
            <w:webHidden/>
            <w:szCs w:val="24"/>
          </w:rPr>
          <w:instrText xml:space="preserve"> PAGEREF _Toc500858521 \h </w:instrText>
        </w:r>
        <w:r w:rsidR="00CC4D0B" w:rsidRPr="00AF652D">
          <w:rPr>
            <w:noProof/>
            <w:webHidden/>
            <w:szCs w:val="24"/>
          </w:rPr>
        </w:r>
        <w:r w:rsidR="00CC4D0B" w:rsidRPr="00AF652D">
          <w:rPr>
            <w:noProof/>
            <w:webHidden/>
            <w:szCs w:val="24"/>
          </w:rPr>
          <w:fldChar w:fldCharType="separate"/>
        </w:r>
        <w:r>
          <w:rPr>
            <w:noProof/>
            <w:webHidden/>
            <w:szCs w:val="24"/>
          </w:rPr>
          <w:t>1</w:t>
        </w:r>
        <w:r w:rsidR="00CC4D0B" w:rsidRPr="00AF652D">
          <w:rPr>
            <w:noProof/>
            <w:webHidden/>
            <w:szCs w:val="24"/>
          </w:rPr>
          <w:fldChar w:fldCharType="end"/>
        </w:r>
      </w:hyperlink>
    </w:p>
    <w:p w:rsidR="00CC4D0B" w:rsidRPr="00AF652D" w:rsidRDefault="00EF38D6">
      <w:pPr>
        <w:pStyle w:val="TOC1"/>
        <w:tabs>
          <w:tab w:val="right" w:leader="dot" w:pos="9016"/>
        </w:tabs>
        <w:rPr>
          <w:rFonts w:asciiTheme="minorHAnsi" w:eastAsiaTheme="minorEastAsia" w:hAnsiTheme="minorHAnsi"/>
          <w:b w:val="0"/>
          <w:noProof/>
          <w:sz w:val="22"/>
          <w:lang w:eastAsia="nl-NL"/>
        </w:rPr>
      </w:pPr>
      <w:hyperlink w:anchor="_Toc500858522" w:history="1">
        <w:r w:rsidR="00CC4D0B" w:rsidRPr="00AF652D">
          <w:rPr>
            <w:rStyle w:val="Hyperlink"/>
            <w:rFonts w:cs="Arial"/>
            <w:noProof/>
            <w:sz w:val="24"/>
            <w:szCs w:val="24"/>
          </w:rPr>
          <w:t>4</w:t>
        </w:r>
        <w:r w:rsidR="00CC4D0B" w:rsidRPr="00AF652D">
          <w:rPr>
            <w:rFonts w:asciiTheme="minorHAnsi" w:eastAsiaTheme="minorEastAsia" w:hAnsiTheme="minorHAnsi"/>
            <w:b w:val="0"/>
            <w:noProof/>
            <w:szCs w:val="24"/>
            <w:lang w:eastAsia="nl-NL"/>
          </w:rPr>
          <w:tab/>
        </w:r>
        <w:r w:rsidR="00CC4D0B" w:rsidRPr="00AF652D">
          <w:rPr>
            <w:rStyle w:val="Hyperlink"/>
            <w:rFonts w:cs="Arial"/>
            <w:noProof/>
            <w:sz w:val="24"/>
            <w:szCs w:val="24"/>
          </w:rPr>
          <w:t>Accessible housing</w:t>
        </w:r>
        <w:r w:rsidR="00CC4D0B" w:rsidRPr="00AF652D">
          <w:rPr>
            <w:noProof/>
            <w:webHidden/>
            <w:szCs w:val="24"/>
          </w:rPr>
          <w:tab/>
        </w:r>
        <w:r w:rsidR="00CC4D0B" w:rsidRPr="00AF652D">
          <w:rPr>
            <w:noProof/>
            <w:webHidden/>
            <w:szCs w:val="24"/>
          </w:rPr>
          <w:fldChar w:fldCharType="begin"/>
        </w:r>
        <w:r w:rsidR="00CC4D0B" w:rsidRPr="00AF652D">
          <w:rPr>
            <w:noProof/>
            <w:webHidden/>
            <w:szCs w:val="24"/>
          </w:rPr>
          <w:instrText xml:space="preserve"> PAGEREF _Toc500858522 \h </w:instrText>
        </w:r>
        <w:r w:rsidR="00CC4D0B" w:rsidRPr="00AF652D">
          <w:rPr>
            <w:noProof/>
            <w:webHidden/>
            <w:szCs w:val="24"/>
          </w:rPr>
        </w:r>
        <w:r w:rsidR="00CC4D0B" w:rsidRPr="00AF652D">
          <w:rPr>
            <w:noProof/>
            <w:webHidden/>
            <w:szCs w:val="24"/>
          </w:rPr>
          <w:fldChar w:fldCharType="separate"/>
        </w:r>
        <w:r>
          <w:rPr>
            <w:noProof/>
            <w:webHidden/>
            <w:szCs w:val="24"/>
          </w:rPr>
          <w:t>1</w:t>
        </w:r>
        <w:r w:rsidR="00CC4D0B" w:rsidRPr="00AF652D">
          <w:rPr>
            <w:noProof/>
            <w:webHidden/>
            <w:szCs w:val="24"/>
          </w:rPr>
          <w:fldChar w:fldCharType="end"/>
        </w:r>
      </w:hyperlink>
    </w:p>
    <w:p w:rsidR="003538CE" w:rsidRPr="00AF652D" w:rsidRDefault="00E63CE2" w:rsidP="00AB2326">
      <w:pPr>
        <w:tabs>
          <w:tab w:val="left" w:pos="2694"/>
        </w:tabs>
        <w:spacing w:after="0" w:line="240" w:lineRule="auto"/>
        <w:rPr>
          <w:rFonts w:ascii="Arial" w:hAnsi="Arial" w:cs="Arial"/>
          <w:sz w:val="24"/>
          <w:szCs w:val="24"/>
        </w:rPr>
      </w:pPr>
      <w:r w:rsidRPr="00AF652D">
        <w:rPr>
          <w:rFonts w:ascii="Arial" w:hAnsi="Arial" w:cs="Arial"/>
          <w:b/>
          <w:sz w:val="24"/>
          <w:szCs w:val="24"/>
        </w:rPr>
        <w:fldChar w:fldCharType="end"/>
      </w:r>
    </w:p>
    <w:p w:rsidR="00020C3C" w:rsidRPr="00AF652D" w:rsidRDefault="00020C3C" w:rsidP="00AB2326">
      <w:pPr>
        <w:pStyle w:val="Heading1"/>
        <w:tabs>
          <w:tab w:val="left" w:pos="2694"/>
        </w:tabs>
        <w:rPr>
          <w:rFonts w:cs="Arial"/>
          <w:szCs w:val="24"/>
        </w:rPr>
      </w:pPr>
      <w:bookmarkStart w:id="1" w:name="_Toc500858519"/>
      <w:r w:rsidRPr="00AF652D">
        <w:rPr>
          <w:rFonts w:cs="Arial"/>
          <w:szCs w:val="24"/>
        </w:rPr>
        <w:lastRenderedPageBreak/>
        <w:t>Skills in transition to the labour market</w:t>
      </w:r>
      <w:bookmarkEnd w:id="1"/>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Main policy reforms or measures in education and training</w:t>
      </w:r>
    </w:p>
    <w:p w:rsidR="00020C3C" w:rsidRPr="00AF652D" w:rsidRDefault="00020C3C" w:rsidP="00AB2326">
      <w:pPr>
        <w:tabs>
          <w:tab w:val="left" w:pos="2694"/>
        </w:tabs>
        <w:spacing w:after="0" w:line="240" w:lineRule="auto"/>
        <w:rPr>
          <w:rFonts w:ascii="Arial" w:hAnsi="Arial" w:cs="Arial"/>
          <w:sz w:val="24"/>
          <w:szCs w:val="24"/>
        </w:rPr>
      </w:pPr>
    </w:p>
    <w:p w:rsidR="003538CE" w:rsidRPr="00AF652D" w:rsidRDefault="003538CE" w:rsidP="00AB2326">
      <w:pPr>
        <w:tabs>
          <w:tab w:val="left" w:pos="2694"/>
        </w:tabs>
        <w:spacing w:after="0" w:line="240" w:lineRule="auto"/>
        <w:rPr>
          <w:rFonts w:ascii="Arial" w:hAnsi="Arial" w:cs="Arial"/>
          <w:bCs/>
          <w:i/>
          <w:sz w:val="24"/>
          <w:szCs w:val="24"/>
        </w:rPr>
      </w:pPr>
      <w:r w:rsidRPr="00AF652D">
        <w:rPr>
          <w:rFonts w:ascii="Arial" w:hAnsi="Arial" w:cs="Arial"/>
          <w:bCs/>
          <w:i/>
          <w:sz w:val="24"/>
          <w:szCs w:val="24"/>
        </w:rPr>
        <w:t>What are the main legal and policy frameworks providing for equality of learning opportunity for young people in your country, and have they changed since ANED reported on these issues in 2010? For example:</w:t>
      </w:r>
    </w:p>
    <w:p w:rsidR="003538CE" w:rsidRPr="00AF652D" w:rsidRDefault="003538CE" w:rsidP="00AB2326">
      <w:pPr>
        <w:pStyle w:val="ListParagraph"/>
        <w:numPr>
          <w:ilvl w:val="0"/>
          <w:numId w:val="2"/>
        </w:numPr>
        <w:tabs>
          <w:tab w:val="left" w:pos="2694"/>
        </w:tabs>
        <w:spacing w:after="0" w:line="240" w:lineRule="auto"/>
        <w:ind w:left="567" w:hanging="567"/>
        <w:rPr>
          <w:rFonts w:ascii="Arial" w:hAnsi="Arial" w:cs="Arial"/>
          <w:i/>
          <w:sz w:val="24"/>
          <w:szCs w:val="24"/>
        </w:rPr>
      </w:pPr>
      <w:r w:rsidRPr="00AF652D">
        <w:rPr>
          <w:rFonts w:ascii="Arial" w:hAnsi="Arial" w:cs="Arial"/>
          <w:bCs/>
          <w:i/>
          <w:sz w:val="24"/>
          <w:szCs w:val="24"/>
        </w:rPr>
        <w:t>What significant reforms or policy measures</w:t>
      </w:r>
      <w:r w:rsidR="00476DE8" w:rsidRPr="00AF652D">
        <w:rPr>
          <w:rFonts w:ascii="Arial" w:hAnsi="Arial" w:cs="Arial"/>
          <w:i/>
          <w:sz w:val="24"/>
          <w:szCs w:val="24"/>
        </w:rPr>
        <w:t xml:space="preserve"> </w:t>
      </w:r>
      <w:r w:rsidRPr="00AF652D">
        <w:rPr>
          <w:rFonts w:ascii="Arial" w:hAnsi="Arial" w:cs="Arial"/>
          <w:i/>
          <w:sz w:val="24"/>
          <w:szCs w:val="24"/>
        </w:rPr>
        <w:t>have been introduced in vocational education and training and how are young disabled persons affected by them?</w:t>
      </w:r>
    </w:p>
    <w:p w:rsidR="003538CE" w:rsidRPr="00AF652D" w:rsidRDefault="003538CE" w:rsidP="00AB2326">
      <w:pPr>
        <w:pStyle w:val="ListParagraph"/>
        <w:numPr>
          <w:ilvl w:val="0"/>
          <w:numId w:val="2"/>
        </w:numPr>
        <w:tabs>
          <w:tab w:val="left" w:pos="2694"/>
        </w:tabs>
        <w:spacing w:after="0" w:line="240" w:lineRule="auto"/>
        <w:ind w:left="567" w:hanging="567"/>
        <w:rPr>
          <w:rFonts w:ascii="Arial" w:hAnsi="Arial" w:cs="Arial"/>
          <w:bCs/>
          <w:i/>
          <w:sz w:val="24"/>
          <w:szCs w:val="24"/>
        </w:rPr>
      </w:pPr>
      <w:r w:rsidRPr="00AF652D">
        <w:rPr>
          <w:rFonts w:ascii="Arial" w:hAnsi="Arial" w:cs="Arial"/>
          <w:bCs/>
          <w:i/>
          <w:sz w:val="24"/>
          <w:szCs w:val="24"/>
        </w:rPr>
        <w:t xml:space="preserve">Are young disabled people in vocational skills programmes covered by disability discrimination legislation beyond compulsory school age? </w:t>
      </w:r>
    </w:p>
    <w:p w:rsidR="00020C3C" w:rsidRPr="00AF652D" w:rsidRDefault="00020C3C" w:rsidP="00AB2326">
      <w:pPr>
        <w:tabs>
          <w:tab w:val="left" w:pos="2694"/>
        </w:tabs>
        <w:spacing w:after="0" w:line="240" w:lineRule="auto"/>
        <w:rPr>
          <w:rFonts w:ascii="Arial" w:hAnsi="Arial" w:cs="Arial"/>
          <w:sz w:val="24"/>
          <w:szCs w:val="24"/>
        </w:rPr>
      </w:pPr>
    </w:p>
    <w:p w:rsidR="0019539B" w:rsidRPr="00AF652D" w:rsidRDefault="00C624C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In </w:t>
      </w:r>
      <w:r w:rsidR="007A2844" w:rsidRPr="00AF652D">
        <w:rPr>
          <w:rFonts w:ascii="Arial" w:hAnsi="Arial" w:cs="Arial"/>
          <w:sz w:val="24"/>
          <w:szCs w:val="24"/>
        </w:rPr>
        <w:t xml:space="preserve">2011 </w:t>
      </w:r>
      <w:r w:rsidRPr="00AF652D">
        <w:rPr>
          <w:rFonts w:ascii="Arial" w:hAnsi="Arial" w:cs="Arial"/>
          <w:sz w:val="24"/>
          <w:szCs w:val="24"/>
        </w:rPr>
        <w:t xml:space="preserve">new acts </w:t>
      </w:r>
      <w:r w:rsidR="007D5659" w:rsidRPr="00AF652D">
        <w:rPr>
          <w:rFonts w:ascii="Arial" w:hAnsi="Arial" w:cs="Arial"/>
          <w:sz w:val="24"/>
          <w:szCs w:val="24"/>
        </w:rPr>
        <w:t xml:space="preserve">were </w:t>
      </w:r>
      <w:r w:rsidRPr="00AF652D">
        <w:rPr>
          <w:rFonts w:ascii="Arial" w:hAnsi="Arial" w:cs="Arial"/>
          <w:sz w:val="24"/>
          <w:szCs w:val="24"/>
        </w:rPr>
        <w:t xml:space="preserve">adopted </w:t>
      </w:r>
      <w:r w:rsidR="00E110FD" w:rsidRPr="00AF652D">
        <w:rPr>
          <w:rFonts w:ascii="Arial" w:hAnsi="Arial" w:cs="Arial"/>
          <w:sz w:val="24"/>
          <w:szCs w:val="24"/>
        </w:rPr>
        <w:t xml:space="preserve">on </w:t>
      </w:r>
      <w:r w:rsidRPr="00AF652D">
        <w:rPr>
          <w:rFonts w:ascii="Arial" w:hAnsi="Arial" w:cs="Arial"/>
          <w:sz w:val="24"/>
          <w:szCs w:val="24"/>
        </w:rPr>
        <w:t>public education</w:t>
      </w:r>
      <w:r w:rsidR="00CC31C9" w:rsidRPr="00AF652D">
        <w:rPr>
          <w:rStyle w:val="FootnoteReference"/>
          <w:rFonts w:ascii="Arial" w:hAnsi="Arial" w:cs="Arial"/>
          <w:sz w:val="24"/>
          <w:szCs w:val="24"/>
        </w:rPr>
        <w:footnoteReference w:id="1"/>
      </w:r>
      <w:r w:rsidRPr="00AF652D">
        <w:rPr>
          <w:rFonts w:ascii="Arial" w:hAnsi="Arial" w:cs="Arial"/>
          <w:sz w:val="24"/>
          <w:szCs w:val="24"/>
        </w:rPr>
        <w:t xml:space="preserve"> and the vocational training</w:t>
      </w:r>
      <w:r w:rsidR="008E666D" w:rsidRPr="00AF652D">
        <w:rPr>
          <w:rFonts w:ascii="Arial" w:hAnsi="Arial" w:cs="Arial"/>
          <w:sz w:val="24"/>
          <w:szCs w:val="24"/>
        </w:rPr>
        <w:t>.</w:t>
      </w:r>
      <w:r w:rsidR="00CA7DB6" w:rsidRPr="00AF652D">
        <w:rPr>
          <w:rStyle w:val="FootnoteReference"/>
          <w:rFonts w:ascii="Arial" w:hAnsi="Arial" w:cs="Arial"/>
          <w:sz w:val="24"/>
          <w:szCs w:val="24"/>
        </w:rPr>
        <w:footnoteReference w:id="2"/>
      </w:r>
      <w:r w:rsidRPr="00AF652D">
        <w:rPr>
          <w:rFonts w:ascii="Arial" w:hAnsi="Arial" w:cs="Arial"/>
          <w:sz w:val="24"/>
          <w:szCs w:val="24"/>
        </w:rPr>
        <w:t xml:space="preserve"> </w:t>
      </w:r>
      <w:r w:rsidR="006C1558" w:rsidRPr="00AF652D">
        <w:rPr>
          <w:rFonts w:ascii="Arial" w:hAnsi="Arial" w:cs="Arial"/>
          <w:sz w:val="24"/>
          <w:szCs w:val="24"/>
        </w:rPr>
        <w:t xml:space="preserve">According to these laws </w:t>
      </w:r>
      <w:r w:rsidR="001934CA" w:rsidRPr="00AF652D">
        <w:rPr>
          <w:rFonts w:ascii="Arial" w:hAnsi="Arial" w:cs="Arial"/>
          <w:sz w:val="24"/>
          <w:szCs w:val="24"/>
        </w:rPr>
        <w:t xml:space="preserve">the vocational training and education of young disabled </w:t>
      </w:r>
      <w:r w:rsidR="00733EB1" w:rsidRPr="00AF652D">
        <w:rPr>
          <w:rFonts w:ascii="Arial" w:hAnsi="Arial" w:cs="Arial"/>
          <w:sz w:val="24"/>
          <w:szCs w:val="24"/>
        </w:rPr>
        <w:t xml:space="preserve">persons </w:t>
      </w:r>
      <w:r w:rsidR="00A64CB8" w:rsidRPr="00AF652D">
        <w:rPr>
          <w:rFonts w:ascii="Arial" w:hAnsi="Arial" w:cs="Arial"/>
          <w:sz w:val="24"/>
          <w:szCs w:val="24"/>
        </w:rPr>
        <w:t>had been</w:t>
      </w:r>
      <w:r w:rsidR="00296F5E" w:rsidRPr="00AF652D">
        <w:rPr>
          <w:rFonts w:ascii="Arial" w:hAnsi="Arial" w:cs="Arial"/>
          <w:sz w:val="24"/>
          <w:szCs w:val="24"/>
        </w:rPr>
        <w:t xml:space="preserve"> performed</w:t>
      </w:r>
      <w:r w:rsidR="00733EB1" w:rsidRPr="00AF652D">
        <w:rPr>
          <w:rFonts w:ascii="Arial" w:hAnsi="Arial" w:cs="Arial"/>
          <w:sz w:val="24"/>
          <w:szCs w:val="24"/>
        </w:rPr>
        <w:t xml:space="preserve"> by </w:t>
      </w:r>
      <w:r w:rsidR="006C1558" w:rsidRPr="00AF652D">
        <w:rPr>
          <w:rFonts w:ascii="Arial" w:hAnsi="Arial" w:cs="Arial"/>
          <w:sz w:val="24"/>
          <w:szCs w:val="24"/>
        </w:rPr>
        <w:t xml:space="preserve">the following types of </w:t>
      </w:r>
      <w:r w:rsidR="00BE34B4" w:rsidRPr="00AF652D">
        <w:rPr>
          <w:rFonts w:ascii="Arial" w:hAnsi="Arial" w:cs="Arial"/>
          <w:sz w:val="24"/>
          <w:szCs w:val="24"/>
        </w:rPr>
        <w:t xml:space="preserve">educational </w:t>
      </w:r>
      <w:r w:rsidR="006C1558" w:rsidRPr="00AF652D">
        <w:rPr>
          <w:rFonts w:ascii="Arial" w:hAnsi="Arial" w:cs="Arial"/>
          <w:sz w:val="24"/>
          <w:szCs w:val="24"/>
        </w:rPr>
        <w:t>institutions</w:t>
      </w:r>
      <w:r w:rsidR="00AE420E" w:rsidRPr="00AF652D">
        <w:rPr>
          <w:rFonts w:ascii="Arial" w:hAnsi="Arial" w:cs="Arial"/>
          <w:sz w:val="24"/>
          <w:szCs w:val="24"/>
        </w:rPr>
        <w:t xml:space="preserve"> </w:t>
      </w:r>
      <w:r w:rsidR="007A2844" w:rsidRPr="00AF652D">
        <w:rPr>
          <w:rFonts w:ascii="Arial" w:hAnsi="Arial" w:cs="Arial"/>
          <w:sz w:val="24"/>
          <w:szCs w:val="24"/>
        </w:rPr>
        <w:t xml:space="preserve">from 2012to </w:t>
      </w:r>
      <w:r w:rsidR="00296F5E" w:rsidRPr="00AF652D">
        <w:rPr>
          <w:rFonts w:ascii="Arial" w:hAnsi="Arial" w:cs="Arial"/>
          <w:sz w:val="24"/>
          <w:szCs w:val="24"/>
        </w:rPr>
        <w:t>2016</w:t>
      </w:r>
      <w:r w:rsidR="00987D8E" w:rsidRPr="00AF652D">
        <w:rPr>
          <w:rFonts w:ascii="Arial" w:hAnsi="Arial" w:cs="Arial"/>
          <w:sz w:val="24"/>
          <w:szCs w:val="24"/>
        </w:rPr>
        <w:t xml:space="preserve"> (Table 1)</w:t>
      </w:r>
      <w:r w:rsidR="00733EB1" w:rsidRPr="00AF652D">
        <w:rPr>
          <w:rFonts w:ascii="Arial" w:hAnsi="Arial" w:cs="Arial"/>
          <w:sz w:val="24"/>
          <w:szCs w:val="24"/>
        </w:rPr>
        <w:t>:</w:t>
      </w:r>
    </w:p>
    <w:p w:rsidR="00733EB1" w:rsidRPr="00AF652D" w:rsidRDefault="00733EB1" w:rsidP="00AB2326">
      <w:pPr>
        <w:tabs>
          <w:tab w:val="left" w:pos="2694"/>
        </w:tabs>
        <w:spacing w:after="0" w:line="240" w:lineRule="auto"/>
        <w:rPr>
          <w:rFonts w:ascii="Arial" w:hAnsi="Arial" w:cs="Arial"/>
          <w:sz w:val="24"/>
          <w:szCs w:val="24"/>
        </w:rPr>
      </w:pPr>
    </w:p>
    <w:p w:rsidR="0070463F" w:rsidRPr="00AF652D" w:rsidRDefault="0070463F" w:rsidP="00AB2326">
      <w:pPr>
        <w:tabs>
          <w:tab w:val="left" w:pos="2694"/>
        </w:tabs>
        <w:spacing w:after="0" w:line="240" w:lineRule="auto"/>
        <w:rPr>
          <w:rFonts w:ascii="Arial" w:hAnsi="Arial" w:cs="Arial"/>
          <w:sz w:val="24"/>
          <w:szCs w:val="24"/>
        </w:rPr>
      </w:pPr>
      <w:r w:rsidRPr="00AF652D">
        <w:rPr>
          <w:rFonts w:ascii="Arial" w:hAnsi="Arial" w:cs="Arial"/>
          <w:sz w:val="24"/>
          <w:szCs w:val="24"/>
          <w:u w:val="single"/>
        </w:rPr>
        <w:t>Table 1</w:t>
      </w:r>
      <w:r w:rsidRPr="00AF652D">
        <w:rPr>
          <w:rFonts w:ascii="Arial" w:hAnsi="Arial" w:cs="Arial"/>
          <w:sz w:val="24"/>
          <w:szCs w:val="24"/>
        </w:rPr>
        <w:t xml:space="preserve">: </w:t>
      </w:r>
      <w:r w:rsidR="00E110FD" w:rsidRPr="00AF652D">
        <w:rPr>
          <w:rFonts w:ascii="Arial" w:hAnsi="Arial" w:cs="Arial"/>
          <w:sz w:val="24"/>
          <w:szCs w:val="24"/>
        </w:rPr>
        <w:t>Institutions and programmes in vocational training (2012-2016)</w:t>
      </w:r>
      <w:r w:rsidR="00046F7E" w:rsidRPr="00AF652D">
        <w:rPr>
          <w:rStyle w:val="FootnoteReference"/>
          <w:rFonts w:ascii="Arial" w:hAnsi="Arial" w:cs="Arial"/>
          <w:sz w:val="24"/>
          <w:szCs w:val="24"/>
        </w:rPr>
        <w:footnoteReference w:id="3"/>
      </w:r>
    </w:p>
    <w:p w:rsidR="0070463F" w:rsidRPr="00AF652D" w:rsidRDefault="0070463F" w:rsidP="00AB2326">
      <w:pPr>
        <w:tabs>
          <w:tab w:val="left" w:pos="2694"/>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524"/>
        <w:gridCol w:w="1378"/>
        <w:gridCol w:w="3229"/>
        <w:gridCol w:w="1885"/>
      </w:tblGrid>
      <w:tr w:rsidR="00FD12F4" w:rsidRPr="00AF652D" w:rsidTr="00FD12F4">
        <w:tc>
          <w:tcPr>
            <w:tcW w:w="2524" w:type="dxa"/>
          </w:tcPr>
          <w:p w:rsidR="00FD12F4" w:rsidRPr="00AF652D" w:rsidRDefault="00FD12F4" w:rsidP="00AB2326">
            <w:pPr>
              <w:tabs>
                <w:tab w:val="left" w:pos="2694"/>
              </w:tabs>
              <w:spacing w:line="240" w:lineRule="auto"/>
              <w:rPr>
                <w:rFonts w:ascii="Arial" w:hAnsi="Arial" w:cs="Arial"/>
                <w:i/>
                <w:sz w:val="24"/>
                <w:szCs w:val="24"/>
              </w:rPr>
            </w:pPr>
            <w:r w:rsidRPr="00AF652D">
              <w:rPr>
                <w:rFonts w:ascii="Arial" w:hAnsi="Arial" w:cs="Arial"/>
                <w:i/>
                <w:sz w:val="24"/>
                <w:szCs w:val="24"/>
              </w:rPr>
              <w:t>Denomination of the institution/programme</w:t>
            </w:r>
          </w:p>
        </w:tc>
        <w:tc>
          <w:tcPr>
            <w:tcW w:w="1412" w:type="dxa"/>
          </w:tcPr>
          <w:p w:rsidR="00FD12F4" w:rsidRPr="00AF652D" w:rsidRDefault="00FD12F4" w:rsidP="00AB2326">
            <w:pPr>
              <w:tabs>
                <w:tab w:val="left" w:pos="2694"/>
              </w:tabs>
              <w:spacing w:line="240" w:lineRule="auto"/>
              <w:rPr>
                <w:rFonts w:ascii="Arial" w:hAnsi="Arial" w:cs="Arial"/>
                <w:i/>
                <w:sz w:val="24"/>
                <w:szCs w:val="24"/>
              </w:rPr>
            </w:pPr>
            <w:r w:rsidRPr="00AF652D">
              <w:rPr>
                <w:rFonts w:ascii="Arial" w:hAnsi="Arial" w:cs="Arial"/>
                <w:i/>
                <w:sz w:val="24"/>
                <w:szCs w:val="24"/>
              </w:rPr>
              <w:t>ISCED</w:t>
            </w:r>
            <w:r w:rsidR="00884BAB" w:rsidRPr="00AF652D">
              <w:rPr>
                <w:rFonts w:ascii="Arial" w:hAnsi="Arial" w:cs="Arial"/>
                <w:i/>
                <w:sz w:val="24"/>
                <w:szCs w:val="24"/>
              </w:rPr>
              <w:t>-level</w:t>
            </w:r>
            <w:r w:rsidR="00F64D16" w:rsidRPr="00AF652D">
              <w:rPr>
                <w:rStyle w:val="FootnoteReference"/>
                <w:rFonts w:ascii="Arial" w:hAnsi="Arial" w:cs="Arial"/>
                <w:i/>
                <w:sz w:val="24"/>
                <w:szCs w:val="24"/>
              </w:rPr>
              <w:footnoteReference w:id="4"/>
            </w:r>
          </w:p>
        </w:tc>
        <w:tc>
          <w:tcPr>
            <w:tcW w:w="3385" w:type="dxa"/>
          </w:tcPr>
          <w:p w:rsidR="00FD12F4" w:rsidRPr="00AF652D" w:rsidRDefault="00FD12F4" w:rsidP="00AB2326">
            <w:pPr>
              <w:tabs>
                <w:tab w:val="left" w:pos="2694"/>
              </w:tabs>
              <w:spacing w:line="240" w:lineRule="auto"/>
              <w:rPr>
                <w:rFonts w:ascii="Arial" w:hAnsi="Arial" w:cs="Arial"/>
                <w:i/>
                <w:sz w:val="24"/>
                <w:szCs w:val="24"/>
              </w:rPr>
            </w:pPr>
            <w:r w:rsidRPr="00AF652D">
              <w:rPr>
                <w:rFonts w:ascii="Arial" w:hAnsi="Arial" w:cs="Arial"/>
                <w:i/>
                <w:sz w:val="24"/>
                <w:szCs w:val="24"/>
              </w:rPr>
              <w:t>Functions</w:t>
            </w:r>
          </w:p>
        </w:tc>
        <w:tc>
          <w:tcPr>
            <w:tcW w:w="1921" w:type="dxa"/>
          </w:tcPr>
          <w:p w:rsidR="00FD12F4" w:rsidRPr="00AF652D" w:rsidRDefault="00FD12F4" w:rsidP="00AB2326">
            <w:pPr>
              <w:tabs>
                <w:tab w:val="left" w:pos="2694"/>
              </w:tabs>
              <w:spacing w:line="240" w:lineRule="auto"/>
              <w:rPr>
                <w:rFonts w:ascii="Arial" w:hAnsi="Arial" w:cs="Arial"/>
                <w:i/>
                <w:sz w:val="24"/>
                <w:szCs w:val="24"/>
              </w:rPr>
            </w:pPr>
            <w:r w:rsidRPr="00AF652D">
              <w:rPr>
                <w:rFonts w:ascii="Arial" w:hAnsi="Arial" w:cs="Arial"/>
                <w:i/>
                <w:sz w:val="24"/>
                <w:szCs w:val="24"/>
              </w:rPr>
              <w:t>Reference</w:t>
            </w:r>
          </w:p>
        </w:tc>
      </w:tr>
      <w:tr w:rsidR="00FD12F4" w:rsidRPr="00AF652D" w:rsidTr="00FD12F4">
        <w:tc>
          <w:tcPr>
            <w:tcW w:w="2524" w:type="dxa"/>
          </w:tcPr>
          <w:p w:rsidR="00FD12F4" w:rsidRPr="00AF652D" w:rsidRDefault="00FD12F4" w:rsidP="00AB2326">
            <w:pPr>
              <w:tabs>
                <w:tab w:val="left" w:pos="2694"/>
              </w:tabs>
              <w:spacing w:line="240" w:lineRule="auto"/>
              <w:rPr>
                <w:rFonts w:ascii="Arial" w:hAnsi="Arial" w:cs="Arial"/>
                <w:sz w:val="24"/>
                <w:szCs w:val="24"/>
              </w:rPr>
            </w:pPr>
            <w:r w:rsidRPr="00AF652D">
              <w:rPr>
                <w:rFonts w:ascii="Arial" w:hAnsi="Arial" w:cs="Arial"/>
                <w:sz w:val="24"/>
                <w:szCs w:val="24"/>
              </w:rPr>
              <w:t xml:space="preserve">Secondary vocational school </w:t>
            </w:r>
            <w:r w:rsidR="00C96FDC" w:rsidRPr="00AF652D">
              <w:rPr>
                <w:rFonts w:ascii="Arial" w:hAnsi="Arial" w:cs="Arial"/>
                <w:sz w:val="24"/>
                <w:szCs w:val="24"/>
              </w:rPr>
              <w:t>(programme)</w:t>
            </w:r>
          </w:p>
        </w:tc>
        <w:tc>
          <w:tcPr>
            <w:tcW w:w="1412" w:type="dxa"/>
          </w:tcPr>
          <w:p w:rsidR="00FD12F4" w:rsidRPr="00AF652D" w:rsidRDefault="00FD12F4" w:rsidP="00AB2326">
            <w:pPr>
              <w:tabs>
                <w:tab w:val="left" w:pos="2694"/>
              </w:tabs>
              <w:spacing w:line="240" w:lineRule="auto"/>
              <w:rPr>
                <w:rFonts w:ascii="Arial" w:hAnsi="Arial" w:cs="Arial"/>
                <w:sz w:val="24"/>
                <w:szCs w:val="24"/>
              </w:rPr>
            </w:pPr>
            <w:r w:rsidRPr="00AF652D">
              <w:rPr>
                <w:rFonts w:ascii="Arial" w:hAnsi="Arial" w:cs="Arial"/>
                <w:sz w:val="24"/>
                <w:szCs w:val="24"/>
              </w:rPr>
              <w:t>ISCED</w:t>
            </w:r>
            <w:r w:rsidR="00C96FDC" w:rsidRPr="00AF652D">
              <w:rPr>
                <w:rFonts w:ascii="Arial" w:hAnsi="Arial" w:cs="Arial"/>
                <w:sz w:val="24"/>
                <w:szCs w:val="24"/>
              </w:rPr>
              <w:t xml:space="preserve"> 3, ISCED 4</w:t>
            </w:r>
          </w:p>
        </w:tc>
        <w:tc>
          <w:tcPr>
            <w:tcW w:w="3385" w:type="dxa"/>
          </w:tcPr>
          <w:p w:rsidR="00FD12F4" w:rsidRPr="00AF652D" w:rsidRDefault="00C96FDC" w:rsidP="00AB2326">
            <w:pPr>
              <w:tabs>
                <w:tab w:val="left" w:pos="2694"/>
              </w:tabs>
              <w:spacing w:line="240" w:lineRule="auto"/>
              <w:rPr>
                <w:rFonts w:ascii="Arial" w:hAnsi="Arial" w:cs="Arial"/>
                <w:sz w:val="24"/>
                <w:szCs w:val="24"/>
              </w:rPr>
            </w:pPr>
            <w:r w:rsidRPr="00AF652D">
              <w:rPr>
                <w:rFonts w:ascii="Arial" w:hAnsi="Arial" w:cs="Arial"/>
                <w:sz w:val="24"/>
                <w:szCs w:val="24"/>
              </w:rPr>
              <w:t>Secondary vocational programmes comprise</w:t>
            </w:r>
            <w:r w:rsidR="00987D8E" w:rsidRPr="00AF652D">
              <w:rPr>
                <w:rFonts w:ascii="Arial" w:hAnsi="Arial" w:cs="Arial"/>
                <w:sz w:val="24"/>
                <w:szCs w:val="24"/>
              </w:rPr>
              <w:t>d</w:t>
            </w:r>
            <w:r w:rsidRPr="00AF652D">
              <w:rPr>
                <w:rFonts w:ascii="Arial" w:hAnsi="Arial" w:cs="Arial"/>
                <w:sz w:val="24"/>
                <w:szCs w:val="24"/>
              </w:rPr>
              <w:t xml:space="preserve"> general, pre-vocational, and vocational subjects and prepare</w:t>
            </w:r>
            <w:r w:rsidR="00987D8E" w:rsidRPr="00AF652D">
              <w:rPr>
                <w:rFonts w:ascii="Arial" w:hAnsi="Arial" w:cs="Arial"/>
                <w:sz w:val="24"/>
                <w:szCs w:val="24"/>
              </w:rPr>
              <w:t>d</w:t>
            </w:r>
            <w:r w:rsidRPr="00AF652D">
              <w:rPr>
                <w:rFonts w:ascii="Arial" w:hAnsi="Arial" w:cs="Arial"/>
                <w:sz w:val="24"/>
                <w:szCs w:val="24"/>
              </w:rPr>
              <w:t xml:space="preserve"> for the secondary school leaving (maturity) examination. After the maturity exam, in the vocational training year(s) they </w:t>
            </w:r>
            <w:proofErr w:type="spellStart"/>
            <w:r w:rsidRPr="00AF652D">
              <w:rPr>
                <w:rFonts w:ascii="Arial" w:hAnsi="Arial" w:cs="Arial"/>
                <w:sz w:val="24"/>
                <w:szCs w:val="24"/>
              </w:rPr>
              <w:t>prepare</w:t>
            </w:r>
            <w:r w:rsidR="00987D8E" w:rsidRPr="00AF652D">
              <w:rPr>
                <w:rFonts w:ascii="Arial" w:hAnsi="Arial" w:cs="Arial"/>
                <w:sz w:val="24"/>
                <w:szCs w:val="24"/>
              </w:rPr>
              <w:t>d</w:t>
            </w:r>
            <w:r w:rsidRPr="00AF652D">
              <w:rPr>
                <w:rFonts w:ascii="Arial" w:hAnsi="Arial" w:cs="Arial"/>
                <w:sz w:val="24"/>
                <w:szCs w:val="24"/>
              </w:rPr>
              <w:t>for</w:t>
            </w:r>
            <w:proofErr w:type="spellEnd"/>
            <w:r w:rsidRPr="00AF652D">
              <w:rPr>
                <w:rFonts w:ascii="Arial" w:hAnsi="Arial" w:cs="Arial"/>
                <w:sz w:val="24"/>
                <w:szCs w:val="24"/>
              </w:rPr>
              <w:t xml:space="preserve"> the post-secondary Vocational Qualification Examination.</w:t>
            </w:r>
          </w:p>
        </w:tc>
        <w:tc>
          <w:tcPr>
            <w:tcW w:w="1921" w:type="dxa"/>
          </w:tcPr>
          <w:p w:rsidR="00FD12F4" w:rsidRPr="00AF652D" w:rsidRDefault="00003687" w:rsidP="00AB2326">
            <w:pPr>
              <w:tabs>
                <w:tab w:val="left" w:pos="2694"/>
              </w:tabs>
              <w:spacing w:line="240" w:lineRule="auto"/>
              <w:rPr>
                <w:rFonts w:ascii="Arial" w:hAnsi="Arial" w:cs="Arial"/>
                <w:sz w:val="24"/>
                <w:szCs w:val="24"/>
              </w:rPr>
            </w:pPr>
            <w:r w:rsidRPr="00AF652D">
              <w:rPr>
                <w:rFonts w:ascii="Arial" w:hAnsi="Arial" w:cs="Arial"/>
                <w:sz w:val="24"/>
                <w:szCs w:val="24"/>
              </w:rPr>
              <w:t>NPE Act, sec. 11; VT Act</w:t>
            </w:r>
            <w:r w:rsidR="006F6AC4" w:rsidRPr="00AF652D">
              <w:rPr>
                <w:rFonts w:ascii="Arial" w:hAnsi="Arial" w:cs="Arial"/>
                <w:sz w:val="24"/>
                <w:szCs w:val="24"/>
              </w:rPr>
              <w:t>, VT Act sec.23-24</w:t>
            </w:r>
          </w:p>
        </w:tc>
      </w:tr>
      <w:tr w:rsidR="00FD12F4" w:rsidRPr="00AF652D" w:rsidTr="00FD12F4">
        <w:tc>
          <w:tcPr>
            <w:tcW w:w="2524" w:type="dxa"/>
          </w:tcPr>
          <w:p w:rsidR="00FD12F4" w:rsidRPr="00AF652D" w:rsidRDefault="00FD12F4" w:rsidP="00AB2326">
            <w:pPr>
              <w:tabs>
                <w:tab w:val="left" w:pos="2694"/>
              </w:tabs>
              <w:spacing w:line="240" w:lineRule="auto"/>
              <w:rPr>
                <w:rFonts w:ascii="Arial" w:hAnsi="Arial" w:cs="Arial"/>
                <w:sz w:val="24"/>
                <w:szCs w:val="24"/>
              </w:rPr>
            </w:pPr>
            <w:r w:rsidRPr="00AF652D">
              <w:rPr>
                <w:rFonts w:ascii="Arial" w:hAnsi="Arial" w:cs="Arial"/>
                <w:sz w:val="24"/>
                <w:szCs w:val="24"/>
              </w:rPr>
              <w:t>Vocational school</w:t>
            </w:r>
            <w:r w:rsidR="00C96FDC" w:rsidRPr="00AF652D">
              <w:rPr>
                <w:rFonts w:ascii="Arial" w:hAnsi="Arial" w:cs="Arial"/>
                <w:sz w:val="24"/>
                <w:szCs w:val="24"/>
              </w:rPr>
              <w:t xml:space="preserve"> (programme)</w:t>
            </w:r>
          </w:p>
        </w:tc>
        <w:tc>
          <w:tcPr>
            <w:tcW w:w="1412" w:type="dxa"/>
          </w:tcPr>
          <w:p w:rsidR="00FD12F4" w:rsidRPr="00AF652D" w:rsidRDefault="00C96FDC" w:rsidP="00AB2326">
            <w:pPr>
              <w:tabs>
                <w:tab w:val="left" w:pos="2694"/>
              </w:tabs>
              <w:spacing w:line="240" w:lineRule="auto"/>
              <w:rPr>
                <w:rFonts w:ascii="Arial" w:hAnsi="Arial" w:cs="Arial"/>
                <w:sz w:val="24"/>
                <w:szCs w:val="24"/>
              </w:rPr>
            </w:pPr>
            <w:r w:rsidRPr="00AF652D">
              <w:rPr>
                <w:rFonts w:ascii="Arial" w:hAnsi="Arial" w:cs="Arial"/>
                <w:sz w:val="24"/>
                <w:szCs w:val="24"/>
              </w:rPr>
              <w:t>ISCED 3</w:t>
            </w:r>
          </w:p>
        </w:tc>
        <w:tc>
          <w:tcPr>
            <w:tcW w:w="3385" w:type="dxa"/>
          </w:tcPr>
          <w:p w:rsidR="00FD12F4" w:rsidRPr="00AF652D" w:rsidRDefault="004D74B7" w:rsidP="00AB2326">
            <w:pPr>
              <w:tabs>
                <w:tab w:val="left" w:pos="2694"/>
              </w:tabs>
              <w:spacing w:line="240" w:lineRule="auto"/>
              <w:rPr>
                <w:rFonts w:ascii="Arial" w:hAnsi="Arial" w:cs="Arial"/>
                <w:sz w:val="24"/>
                <w:szCs w:val="24"/>
              </w:rPr>
            </w:pPr>
            <w:r w:rsidRPr="00AF652D">
              <w:rPr>
                <w:rFonts w:ascii="Arial" w:hAnsi="Arial" w:cs="Arial"/>
                <w:sz w:val="24"/>
                <w:szCs w:val="24"/>
              </w:rPr>
              <w:t>Vocational programmes comprise</w:t>
            </w:r>
            <w:r w:rsidR="00987D8E" w:rsidRPr="00AF652D">
              <w:rPr>
                <w:rFonts w:ascii="Arial" w:hAnsi="Arial" w:cs="Arial"/>
                <w:sz w:val="24"/>
                <w:szCs w:val="24"/>
              </w:rPr>
              <w:t>d</w:t>
            </w:r>
            <w:r w:rsidRPr="00AF652D">
              <w:rPr>
                <w:rFonts w:ascii="Arial" w:hAnsi="Arial" w:cs="Arial"/>
                <w:sz w:val="24"/>
                <w:szCs w:val="24"/>
              </w:rPr>
              <w:t xml:space="preserve"> development of general knowledge and foundation skills, career orientation activities, pre-vocational and vocational training and preparation for the Vocational Qualification </w:t>
            </w:r>
            <w:r w:rsidRPr="00AF652D">
              <w:rPr>
                <w:rFonts w:ascii="Arial" w:hAnsi="Arial" w:cs="Arial"/>
                <w:sz w:val="24"/>
                <w:szCs w:val="24"/>
              </w:rPr>
              <w:lastRenderedPageBreak/>
              <w:t>Examination in tra</w:t>
            </w:r>
            <w:r w:rsidR="00987D8E" w:rsidRPr="00AF652D">
              <w:rPr>
                <w:rFonts w:ascii="Arial" w:hAnsi="Arial" w:cs="Arial"/>
                <w:sz w:val="24"/>
                <w:szCs w:val="24"/>
              </w:rPr>
              <w:t>des where maturity examination wa</w:t>
            </w:r>
            <w:r w:rsidRPr="00AF652D">
              <w:rPr>
                <w:rFonts w:ascii="Arial" w:hAnsi="Arial" w:cs="Arial"/>
                <w:sz w:val="24"/>
                <w:szCs w:val="24"/>
              </w:rPr>
              <w:t>s not an entry requirement.</w:t>
            </w:r>
          </w:p>
        </w:tc>
        <w:tc>
          <w:tcPr>
            <w:tcW w:w="1921" w:type="dxa"/>
          </w:tcPr>
          <w:p w:rsidR="00FD12F4" w:rsidRPr="00AF652D" w:rsidRDefault="00E279E6" w:rsidP="00AB2326">
            <w:pPr>
              <w:tabs>
                <w:tab w:val="left" w:pos="2694"/>
              </w:tabs>
              <w:spacing w:line="240" w:lineRule="auto"/>
              <w:rPr>
                <w:rFonts w:ascii="Arial" w:hAnsi="Arial" w:cs="Arial"/>
                <w:sz w:val="24"/>
                <w:szCs w:val="24"/>
              </w:rPr>
            </w:pPr>
            <w:r w:rsidRPr="00AF652D">
              <w:rPr>
                <w:rFonts w:ascii="Arial" w:hAnsi="Arial" w:cs="Arial"/>
                <w:sz w:val="24"/>
                <w:szCs w:val="24"/>
              </w:rPr>
              <w:lastRenderedPageBreak/>
              <w:t>NPE Act, sec. 13</w:t>
            </w:r>
            <w:r w:rsidR="006F6AC4" w:rsidRPr="00AF652D">
              <w:rPr>
                <w:rFonts w:ascii="Arial" w:hAnsi="Arial" w:cs="Arial"/>
                <w:sz w:val="24"/>
                <w:szCs w:val="24"/>
              </w:rPr>
              <w:t>, VT Act, sec. 21-22</w:t>
            </w:r>
          </w:p>
        </w:tc>
      </w:tr>
      <w:tr w:rsidR="00FD12F4" w:rsidRPr="00AF652D" w:rsidTr="00FD12F4">
        <w:tc>
          <w:tcPr>
            <w:tcW w:w="2524" w:type="dxa"/>
          </w:tcPr>
          <w:p w:rsidR="00FD12F4" w:rsidRPr="00AF652D" w:rsidRDefault="00FD12F4" w:rsidP="00AB2326">
            <w:pPr>
              <w:tabs>
                <w:tab w:val="left" w:pos="2694"/>
              </w:tabs>
              <w:spacing w:line="240" w:lineRule="auto"/>
              <w:rPr>
                <w:rFonts w:ascii="Arial" w:hAnsi="Arial" w:cs="Arial"/>
                <w:sz w:val="24"/>
                <w:szCs w:val="24"/>
              </w:rPr>
            </w:pPr>
            <w:r w:rsidRPr="00AF652D">
              <w:rPr>
                <w:rFonts w:ascii="Arial" w:hAnsi="Arial" w:cs="Arial"/>
                <w:sz w:val="24"/>
                <w:szCs w:val="24"/>
              </w:rPr>
              <w:t>Special vocational school</w:t>
            </w:r>
            <w:r w:rsidR="00C06D8C" w:rsidRPr="00AF652D">
              <w:rPr>
                <w:rFonts w:ascii="Arial" w:hAnsi="Arial" w:cs="Arial"/>
                <w:sz w:val="24"/>
                <w:szCs w:val="24"/>
              </w:rPr>
              <w:t xml:space="preserve"> (programme)</w:t>
            </w:r>
            <w:r w:rsidR="00E723F4" w:rsidRPr="00AF652D">
              <w:rPr>
                <w:rFonts w:ascii="Arial" w:hAnsi="Arial" w:cs="Arial"/>
                <w:sz w:val="24"/>
                <w:szCs w:val="24"/>
              </w:rPr>
              <w:t xml:space="preserve"> and skill-developing special </w:t>
            </w:r>
            <w:r w:rsidR="00FC0594" w:rsidRPr="00AF652D">
              <w:rPr>
                <w:rFonts w:ascii="Arial" w:hAnsi="Arial" w:cs="Arial"/>
                <w:sz w:val="24"/>
                <w:szCs w:val="24"/>
              </w:rPr>
              <w:t>vocational school</w:t>
            </w:r>
          </w:p>
        </w:tc>
        <w:tc>
          <w:tcPr>
            <w:tcW w:w="1412" w:type="dxa"/>
          </w:tcPr>
          <w:p w:rsidR="00FD12F4" w:rsidRPr="00AF652D" w:rsidRDefault="002F4F3D" w:rsidP="00AB2326">
            <w:pPr>
              <w:tabs>
                <w:tab w:val="left" w:pos="2694"/>
              </w:tabs>
              <w:spacing w:line="240" w:lineRule="auto"/>
              <w:rPr>
                <w:rFonts w:ascii="Arial" w:hAnsi="Arial" w:cs="Arial"/>
                <w:sz w:val="24"/>
                <w:szCs w:val="24"/>
              </w:rPr>
            </w:pPr>
            <w:r w:rsidRPr="00AF652D">
              <w:rPr>
                <w:rFonts w:ascii="Arial" w:hAnsi="Arial" w:cs="Arial"/>
                <w:sz w:val="24"/>
                <w:szCs w:val="24"/>
              </w:rPr>
              <w:t>ISCED 3</w:t>
            </w:r>
          </w:p>
        </w:tc>
        <w:tc>
          <w:tcPr>
            <w:tcW w:w="3385" w:type="dxa"/>
          </w:tcPr>
          <w:p w:rsidR="00FD12F4" w:rsidRPr="00AF652D" w:rsidRDefault="002F4F3D" w:rsidP="00AB2326">
            <w:pPr>
              <w:tabs>
                <w:tab w:val="left" w:pos="2694"/>
              </w:tabs>
              <w:spacing w:line="240" w:lineRule="auto"/>
              <w:rPr>
                <w:rFonts w:ascii="Arial" w:hAnsi="Arial" w:cs="Arial"/>
                <w:sz w:val="24"/>
                <w:szCs w:val="24"/>
              </w:rPr>
            </w:pPr>
            <w:r w:rsidRPr="00AF652D">
              <w:rPr>
                <w:rFonts w:ascii="Arial" w:hAnsi="Arial" w:cs="Arial"/>
                <w:sz w:val="24"/>
                <w:szCs w:val="24"/>
              </w:rPr>
              <w:t>Vocational programmes specifically designed for students with special educat</w:t>
            </w:r>
            <w:r w:rsidR="00EC0F7B" w:rsidRPr="00AF652D">
              <w:rPr>
                <w:rFonts w:ascii="Arial" w:hAnsi="Arial" w:cs="Arial"/>
                <w:sz w:val="24"/>
                <w:szCs w:val="24"/>
              </w:rPr>
              <w:t xml:space="preserve">ional needs (hereinafter: students with </w:t>
            </w:r>
            <w:r w:rsidRPr="00AF652D">
              <w:rPr>
                <w:rFonts w:ascii="Arial" w:hAnsi="Arial" w:cs="Arial"/>
                <w:sz w:val="24"/>
                <w:szCs w:val="24"/>
              </w:rPr>
              <w:t xml:space="preserve">SEN). </w:t>
            </w:r>
          </w:p>
        </w:tc>
        <w:tc>
          <w:tcPr>
            <w:tcW w:w="1921" w:type="dxa"/>
          </w:tcPr>
          <w:p w:rsidR="00FD12F4" w:rsidRPr="00AF652D" w:rsidRDefault="00E279E6" w:rsidP="00AB2326">
            <w:pPr>
              <w:tabs>
                <w:tab w:val="left" w:pos="2694"/>
              </w:tabs>
              <w:spacing w:line="240" w:lineRule="auto"/>
              <w:rPr>
                <w:rFonts w:ascii="Arial" w:hAnsi="Arial" w:cs="Arial"/>
                <w:sz w:val="24"/>
                <w:szCs w:val="24"/>
              </w:rPr>
            </w:pPr>
            <w:r w:rsidRPr="00AF652D">
              <w:rPr>
                <w:rFonts w:ascii="Arial" w:hAnsi="Arial" w:cs="Arial"/>
                <w:sz w:val="24"/>
                <w:szCs w:val="24"/>
              </w:rPr>
              <w:t>NPE Act, sec. 13(5)</w:t>
            </w:r>
          </w:p>
        </w:tc>
      </w:tr>
      <w:tr w:rsidR="002F4F3D" w:rsidRPr="00AF652D" w:rsidTr="00FD12F4">
        <w:tc>
          <w:tcPr>
            <w:tcW w:w="2524" w:type="dxa"/>
          </w:tcPr>
          <w:p w:rsidR="002F4F3D" w:rsidRPr="00AF652D" w:rsidRDefault="002F4F3D" w:rsidP="00AB2326">
            <w:pPr>
              <w:tabs>
                <w:tab w:val="left" w:pos="2694"/>
              </w:tabs>
              <w:spacing w:line="240" w:lineRule="auto"/>
              <w:rPr>
                <w:rFonts w:ascii="Arial" w:hAnsi="Arial" w:cs="Arial"/>
                <w:sz w:val="24"/>
                <w:szCs w:val="24"/>
              </w:rPr>
            </w:pPr>
            <w:r w:rsidRPr="00AF652D">
              <w:rPr>
                <w:rFonts w:ascii="Arial" w:hAnsi="Arial" w:cs="Arial"/>
                <w:sz w:val="24"/>
                <w:szCs w:val="24"/>
              </w:rPr>
              <w:t>Accredited post-secondary vocational programme</w:t>
            </w:r>
          </w:p>
        </w:tc>
        <w:tc>
          <w:tcPr>
            <w:tcW w:w="1412" w:type="dxa"/>
          </w:tcPr>
          <w:p w:rsidR="002F4F3D" w:rsidRPr="00AF652D" w:rsidRDefault="00C06D8C" w:rsidP="00AB2326">
            <w:pPr>
              <w:tabs>
                <w:tab w:val="left" w:pos="2694"/>
              </w:tabs>
              <w:spacing w:line="240" w:lineRule="auto"/>
              <w:rPr>
                <w:rFonts w:ascii="Arial" w:hAnsi="Arial" w:cs="Arial"/>
                <w:sz w:val="24"/>
                <w:szCs w:val="24"/>
              </w:rPr>
            </w:pPr>
            <w:r w:rsidRPr="00AF652D">
              <w:rPr>
                <w:rFonts w:ascii="Arial" w:hAnsi="Arial" w:cs="Arial"/>
                <w:sz w:val="24"/>
                <w:szCs w:val="24"/>
              </w:rPr>
              <w:t>ISCED 5</w:t>
            </w:r>
            <w:r w:rsidR="00850103" w:rsidRPr="00AF652D">
              <w:rPr>
                <w:rFonts w:ascii="Arial" w:hAnsi="Arial" w:cs="Arial"/>
                <w:sz w:val="24"/>
                <w:szCs w:val="24"/>
              </w:rPr>
              <w:t>B</w:t>
            </w:r>
          </w:p>
        </w:tc>
        <w:tc>
          <w:tcPr>
            <w:tcW w:w="3385" w:type="dxa"/>
          </w:tcPr>
          <w:p w:rsidR="002F4F3D" w:rsidRPr="00AF652D" w:rsidRDefault="002F4F3D" w:rsidP="00AB2326">
            <w:pPr>
              <w:tabs>
                <w:tab w:val="left" w:pos="2694"/>
              </w:tabs>
              <w:spacing w:line="240" w:lineRule="auto"/>
              <w:rPr>
                <w:rFonts w:ascii="Arial" w:hAnsi="Arial" w:cs="Arial"/>
                <w:sz w:val="24"/>
                <w:szCs w:val="24"/>
              </w:rPr>
            </w:pPr>
            <w:r w:rsidRPr="00AF652D">
              <w:rPr>
                <w:rFonts w:ascii="Arial" w:hAnsi="Arial" w:cs="Arial"/>
                <w:sz w:val="24"/>
                <w:szCs w:val="24"/>
              </w:rPr>
              <w:t>Vocational programmes requiring maturity examination certificate as an entry condition and accredited by the Hungarian Accreditation Committee. Until 20</w:t>
            </w:r>
            <w:r w:rsidR="00FD38AF" w:rsidRPr="00AF652D">
              <w:rPr>
                <w:rFonts w:ascii="Arial" w:hAnsi="Arial" w:cs="Arial"/>
                <w:sz w:val="24"/>
                <w:szCs w:val="24"/>
              </w:rPr>
              <w:t>14, such programmes coul</w:t>
            </w:r>
            <w:r w:rsidR="00850103" w:rsidRPr="00AF652D">
              <w:rPr>
                <w:rFonts w:ascii="Arial" w:hAnsi="Arial" w:cs="Arial"/>
                <w:sz w:val="24"/>
                <w:szCs w:val="24"/>
              </w:rPr>
              <w:t>d</w:t>
            </w:r>
            <w:r w:rsidRPr="00AF652D">
              <w:rPr>
                <w:rFonts w:ascii="Arial" w:hAnsi="Arial" w:cs="Arial"/>
                <w:sz w:val="24"/>
                <w:szCs w:val="24"/>
              </w:rPr>
              <w:t xml:space="preserve"> be offered both by secondary vocational schools and higher education institutions</w:t>
            </w:r>
            <w:r w:rsidR="00850103" w:rsidRPr="00AF652D">
              <w:rPr>
                <w:rFonts w:ascii="Arial" w:hAnsi="Arial" w:cs="Arial"/>
                <w:sz w:val="24"/>
                <w:szCs w:val="24"/>
              </w:rPr>
              <w:t>, recently only these latter provide them.</w:t>
            </w:r>
          </w:p>
        </w:tc>
        <w:tc>
          <w:tcPr>
            <w:tcW w:w="1921" w:type="dxa"/>
          </w:tcPr>
          <w:p w:rsidR="002F4F3D" w:rsidRPr="00AF652D" w:rsidRDefault="00FD38AF" w:rsidP="00AB2326">
            <w:pPr>
              <w:tabs>
                <w:tab w:val="left" w:pos="2694"/>
              </w:tabs>
              <w:spacing w:line="240" w:lineRule="auto"/>
              <w:rPr>
                <w:rFonts w:ascii="Arial" w:hAnsi="Arial" w:cs="Arial"/>
                <w:sz w:val="24"/>
                <w:szCs w:val="24"/>
              </w:rPr>
            </w:pPr>
            <w:r w:rsidRPr="00AF652D">
              <w:rPr>
                <w:rFonts w:ascii="Arial" w:hAnsi="Arial" w:cs="Arial"/>
                <w:sz w:val="24"/>
                <w:szCs w:val="24"/>
              </w:rPr>
              <w:t>Act CCIV of 2011 on the national higher education (hereinafter: NHE Act),</w:t>
            </w:r>
            <w:r w:rsidR="00EE6B98" w:rsidRPr="00AF652D">
              <w:rPr>
                <w:rStyle w:val="FootnoteReference"/>
                <w:rFonts w:ascii="Arial" w:hAnsi="Arial" w:cs="Arial"/>
                <w:sz w:val="24"/>
                <w:szCs w:val="24"/>
              </w:rPr>
              <w:footnoteReference w:id="5"/>
            </w:r>
            <w:r w:rsidRPr="00AF652D">
              <w:rPr>
                <w:rFonts w:ascii="Arial" w:hAnsi="Arial" w:cs="Arial"/>
                <w:sz w:val="24"/>
                <w:szCs w:val="24"/>
              </w:rPr>
              <w:t xml:space="preserve"> sec. 15(2)</w:t>
            </w:r>
          </w:p>
        </w:tc>
      </w:tr>
      <w:tr w:rsidR="00C301F0" w:rsidRPr="00AF652D" w:rsidTr="00FD12F4">
        <w:tc>
          <w:tcPr>
            <w:tcW w:w="2524" w:type="dxa"/>
          </w:tcPr>
          <w:p w:rsidR="00C301F0" w:rsidRPr="00AF652D" w:rsidRDefault="00C301F0" w:rsidP="00AB2326">
            <w:pPr>
              <w:tabs>
                <w:tab w:val="left" w:pos="2694"/>
              </w:tabs>
              <w:spacing w:line="240" w:lineRule="auto"/>
              <w:rPr>
                <w:rFonts w:ascii="Arial" w:hAnsi="Arial" w:cs="Arial"/>
                <w:sz w:val="24"/>
                <w:szCs w:val="24"/>
              </w:rPr>
            </w:pPr>
            <w:r w:rsidRPr="00AF652D">
              <w:rPr>
                <w:rFonts w:ascii="Arial" w:hAnsi="Arial" w:cs="Arial"/>
                <w:sz w:val="24"/>
                <w:szCs w:val="24"/>
              </w:rPr>
              <w:t>Public education “Bridge” programmes</w:t>
            </w:r>
          </w:p>
        </w:tc>
        <w:tc>
          <w:tcPr>
            <w:tcW w:w="1412" w:type="dxa"/>
          </w:tcPr>
          <w:p w:rsidR="00E35C9D" w:rsidRPr="00AF652D" w:rsidRDefault="00E35C9D" w:rsidP="00AB2326">
            <w:pPr>
              <w:tabs>
                <w:tab w:val="left" w:pos="2694"/>
              </w:tabs>
              <w:spacing w:line="240" w:lineRule="auto"/>
              <w:rPr>
                <w:rFonts w:ascii="Arial" w:hAnsi="Arial" w:cs="Arial"/>
                <w:sz w:val="24"/>
                <w:szCs w:val="24"/>
              </w:rPr>
            </w:pPr>
            <w:r w:rsidRPr="00AF652D">
              <w:rPr>
                <w:rFonts w:ascii="Arial" w:hAnsi="Arial" w:cs="Arial"/>
                <w:sz w:val="24"/>
                <w:szCs w:val="24"/>
              </w:rPr>
              <w:t>ISCED 2,</w:t>
            </w:r>
          </w:p>
          <w:p w:rsidR="00C301F0" w:rsidRPr="00AF652D" w:rsidRDefault="0004601A" w:rsidP="00AB2326">
            <w:pPr>
              <w:tabs>
                <w:tab w:val="left" w:pos="2694"/>
              </w:tabs>
              <w:spacing w:line="240" w:lineRule="auto"/>
              <w:rPr>
                <w:rFonts w:ascii="Arial" w:hAnsi="Arial" w:cs="Arial"/>
                <w:sz w:val="24"/>
                <w:szCs w:val="24"/>
              </w:rPr>
            </w:pPr>
            <w:r w:rsidRPr="00AF652D">
              <w:rPr>
                <w:rFonts w:ascii="Arial" w:hAnsi="Arial" w:cs="Arial"/>
                <w:sz w:val="24"/>
                <w:szCs w:val="24"/>
              </w:rPr>
              <w:t>ISCED 3</w:t>
            </w:r>
          </w:p>
        </w:tc>
        <w:tc>
          <w:tcPr>
            <w:tcW w:w="3385" w:type="dxa"/>
          </w:tcPr>
          <w:p w:rsidR="00C301F0" w:rsidRPr="00AF652D" w:rsidRDefault="00CB50A6" w:rsidP="00AB2326">
            <w:pPr>
              <w:tabs>
                <w:tab w:val="left" w:pos="2694"/>
              </w:tabs>
              <w:spacing w:line="240" w:lineRule="auto"/>
              <w:rPr>
                <w:rFonts w:ascii="Arial" w:hAnsi="Arial" w:cs="Arial"/>
                <w:sz w:val="24"/>
                <w:szCs w:val="24"/>
              </w:rPr>
            </w:pPr>
            <w:r w:rsidRPr="00AF652D">
              <w:rPr>
                <w:rFonts w:ascii="Arial" w:hAnsi="Arial" w:cs="Arial"/>
                <w:sz w:val="24"/>
                <w:szCs w:val="24"/>
              </w:rPr>
              <w:t xml:space="preserve">Programmes helping </w:t>
            </w:r>
            <w:r w:rsidR="00850103" w:rsidRPr="00AF652D">
              <w:rPr>
                <w:rFonts w:ascii="Arial" w:hAnsi="Arial" w:cs="Arial"/>
                <w:sz w:val="24"/>
                <w:szCs w:val="24"/>
              </w:rPr>
              <w:t xml:space="preserve">low achieving </w:t>
            </w:r>
            <w:r w:rsidRPr="00AF652D">
              <w:rPr>
                <w:rFonts w:ascii="Arial" w:hAnsi="Arial" w:cs="Arial"/>
                <w:sz w:val="24"/>
                <w:szCs w:val="24"/>
              </w:rPr>
              <w:t xml:space="preserve">students </w:t>
            </w:r>
            <w:r w:rsidR="0004601A" w:rsidRPr="00AF652D">
              <w:rPr>
                <w:rFonts w:ascii="Arial" w:hAnsi="Arial" w:cs="Arial"/>
                <w:sz w:val="24"/>
                <w:szCs w:val="24"/>
              </w:rPr>
              <w:t>to get access to secondary education or vocational training.</w:t>
            </w:r>
          </w:p>
        </w:tc>
        <w:tc>
          <w:tcPr>
            <w:tcW w:w="1921" w:type="dxa"/>
          </w:tcPr>
          <w:p w:rsidR="00C301F0" w:rsidRPr="00AF652D" w:rsidRDefault="0004601A" w:rsidP="00AB2326">
            <w:pPr>
              <w:tabs>
                <w:tab w:val="left" w:pos="2694"/>
              </w:tabs>
              <w:spacing w:line="240" w:lineRule="auto"/>
              <w:rPr>
                <w:rFonts w:ascii="Arial" w:hAnsi="Arial" w:cs="Arial"/>
                <w:sz w:val="24"/>
                <w:szCs w:val="24"/>
              </w:rPr>
            </w:pPr>
            <w:r w:rsidRPr="00AF652D">
              <w:rPr>
                <w:rFonts w:ascii="Arial" w:hAnsi="Arial" w:cs="Arial"/>
                <w:sz w:val="24"/>
                <w:szCs w:val="24"/>
              </w:rPr>
              <w:t>NPE Act, sec. 14</w:t>
            </w:r>
          </w:p>
        </w:tc>
      </w:tr>
    </w:tbl>
    <w:p w:rsidR="008E666D" w:rsidRPr="00AF652D" w:rsidRDefault="008E666D" w:rsidP="00AB2326">
      <w:pPr>
        <w:tabs>
          <w:tab w:val="left" w:pos="2694"/>
        </w:tabs>
        <w:spacing w:after="0" w:line="240" w:lineRule="auto"/>
        <w:rPr>
          <w:rFonts w:ascii="Arial" w:hAnsi="Arial" w:cs="Arial"/>
          <w:sz w:val="24"/>
          <w:szCs w:val="24"/>
        </w:rPr>
      </w:pPr>
    </w:p>
    <w:p w:rsidR="002161FF" w:rsidRPr="00AF652D" w:rsidRDefault="002161FF" w:rsidP="00AB2326">
      <w:pPr>
        <w:tabs>
          <w:tab w:val="left" w:pos="2694"/>
        </w:tabs>
        <w:spacing w:after="0" w:line="240" w:lineRule="auto"/>
        <w:rPr>
          <w:rFonts w:ascii="Arial" w:hAnsi="Arial" w:cs="Arial"/>
          <w:sz w:val="24"/>
          <w:szCs w:val="24"/>
        </w:rPr>
      </w:pPr>
      <w:r w:rsidRPr="00AF652D">
        <w:rPr>
          <w:rFonts w:ascii="Arial" w:hAnsi="Arial" w:cs="Arial"/>
          <w:sz w:val="24"/>
          <w:szCs w:val="24"/>
        </w:rPr>
        <w:t>In 2014/2015, 102 482 students studied in vocational schools, 7 496 students studied in special vocational schools</w:t>
      </w:r>
      <w:r w:rsidR="0048195C" w:rsidRPr="00AF652D">
        <w:rPr>
          <w:rFonts w:ascii="Arial" w:hAnsi="Arial" w:cs="Arial"/>
          <w:sz w:val="24"/>
          <w:szCs w:val="24"/>
        </w:rPr>
        <w:t xml:space="preserve"> (i.e. vocational schools specifically designed for students with SEN)</w:t>
      </w:r>
      <w:r w:rsidRPr="00AF652D">
        <w:rPr>
          <w:rFonts w:ascii="Arial" w:hAnsi="Arial" w:cs="Arial"/>
          <w:sz w:val="24"/>
          <w:szCs w:val="24"/>
        </w:rPr>
        <w:t>, and 221 144 students studied in secondary vocational schools. 179 045 students were studying in the secondary and post-secondary vocational training grades (full-time and part time together).</w:t>
      </w:r>
      <w:r w:rsidR="006E48D2" w:rsidRPr="00AF652D">
        <w:rPr>
          <w:rStyle w:val="FootnoteReference"/>
          <w:rFonts w:ascii="Arial" w:hAnsi="Arial" w:cs="Arial"/>
          <w:sz w:val="24"/>
          <w:szCs w:val="24"/>
        </w:rPr>
        <w:footnoteReference w:id="6"/>
      </w:r>
    </w:p>
    <w:p w:rsidR="0049577D" w:rsidRPr="00AF652D" w:rsidRDefault="0049577D" w:rsidP="00AB2326">
      <w:pPr>
        <w:tabs>
          <w:tab w:val="left" w:pos="2694"/>
        </w:tabs>
        <w:spacing w:after="0" w:line="240" w:lineRule="auto"/>
        <w:rPr>
          <w:rFonts w:ascii="Arial" w:hAnsi="Arial" w:cs="Arial"/>
          <w:sz w:val="24"/>
          <w:szCs w:val="24"/>
        </w:rPr>
      </w:pPr>
    </w:p>
    <w:p w:rsidR="0097045D" w:rsidRPr="00AF652D" w:rsidRDefault="00EC0F7B"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SEN </w:t>
      </w:r>
      <w:r w:rsidR="005B7794" w:rsidRPr="00AF652D">
        <w:rPr>
          <w:rFonts w:ascii="Arial" w:hAnsi="Arial" w:cs="Arial"/>
          <w:sz w:val="24"/>
          <w:szCs w:val="24"/>
        </w:rPr>
        <w:t>are established by so called professional diagnostically committee duties</w:t>
      </w:r>
      <w:r w:rsidR="000A446C" w:rsidRPr="00AF652D">
        <w:rPr>
          <w:rFonts w:ascii="Arial" w:hAnsi="Arial" w:cs="Arial"/>
          <w:sz w:val="24"/>
          <w:szCs w:val="24"/>
        </w:rPr>
        <w:t xml:space="preserve"> (hereinafter: expert committee)</w:t>
      </w:r>
      <w:r w:rsidR="005B7794" w:rsidRPr="00AF652D">
        <w:rPr>
          <w:rFonts w:ascii="Arial" w:hAnsi="Arial" w:cs="Arial"/>
          <w:sz w:val="24"/>
          <w:szCs w:val="24"/>
        </w:rPr>
        <w:t>.</w:t>
      </w:r>
      <w:r w:rsidR="006E48D2" w:rsidRPr="00AF652D">
        <w:rPr>
          <w:rStyle w:val="FootnoteReference"/>
          <w:rFonts w:ascii="Arial" w:hAnsi="Arial" w:cs="Arial"/>
          <w:sz w:val="24"/>
          <w:szCs w:val="24"/>
        </w:rPr>
        <w:footnoteReference w:id="7"/>
      </w:r>
      <w:r w:rsidR="005B7794" w:rsidRPr="00AF652D">
        <w:rPr>
          <w:rFonts w:ascii="Arial" w:hAnsi="Arial" w:cs="Arial"/>
          <w:sz w:val="24"/>
          <w:szCs w:val="24"/>
        </w:rPr>
        <w:t xml:space="preserve"> These committees </w:t>
      </w:r>
      <w:r w:rsidR="007756A2" w:rsidRPr="00AF652D">
        <w:rPr>
          <w:rFonts w:ascii="Arial" w:hAnsi="Arial" w:cs="Arial"/>
          <w:sz w:val="24"/>
          <w:szCs w:val="24"/>
        </w:rPr>
        <w:t>consisting</w:t>
      </w:r>
      <w:r w:rsidR="00AE420E" w:rsidRPr="00AF652D">
        <w:rPr>
          <w:rFonts w:ascii="Arial" w:hAnsi="Arial" w:cs="Arial"/>
          <w:sz w:val="24"/>
          <w:szCs w:val="24"/>
        </w:rPr>
        <w:t xml:space="preserve"> </w:t>
      </w:r>
      <w:r w:rsidR="005B7794" w:rsidRPr="00AF652D">
        <w:rPr>
          <w:rFonts w:ascii="Arial" w:hAnsi="Arial" w:cs="Arial"/>
          <w:sz w:val="24"/>
          <w:szCs w:val="24"/>
        </w:rPr>
        <w:t>of physicians, psychologists, and spe</w:t>
      </w:r>
      <w:r w:rsidR="00E44CCA" w:rsidRPr="00AF652D">
        <w:rPr>
          <w:rFonts w:ascii="Arial" w:hAnsi="Arial" w:cs="Arial"/>
          <w:sz w:val="24"/>
          <w:szCs w:val="24"/>
        </w:rPr>
        <w:t xml:space="preserve">cial education experts </w:t>
      </w:r>
      <w:r w:rsidR="007756A2" w:rsidRPr="00AF652D">
        <w:rPr>
          <w:rFonts w:ascii="Arial" w:hAnsi="Arial" w:cs="Arial"/>
          <w:sz w:val="24"/>
          <w:szCs w:val="24"/>
        </w:rPr>
        <w:t>issue</w:t>
      </w:r>
      <w:r w:rsidR="005B7794" w:rsidRPr="00AF652D">
        <w:rPr>
          <w:rFonts w:ascii="Arial" w:hAnsi="Arial" w:cs="Arial"/>
          <w:sz w:val="24"/>
          <w:szCs w:val="24"/>
        </w:rPr>
        <w:t xml:space="preserve"> expert opinion</w:t>
      </w:r>
      <w:r w:rsidR="00E44CCA" w:rsidRPr="00AF652D">
        <w:rPr>
          <w:rFonts w:ascii="Arial" w:hAnsi="Arial" w:cs="Arial"/>
          <w:sz w:val="24"/>
          <w:szCs w:val="24"/>
        </w:rPr>
        <w:t>s</w:t>
      </w:r>
      <w:r w:rsidR="005B7794" w:rsidRPr="00AF652D">
        <w:rPr>
          <w:rFonts w:ascii="Arial" w:hAnsi="Arial" w:cs="Arial"/>
          <w:sz w:val="24"/>
          <w:szCs w:val="24"/>
        </w:rPr>
        <w:t xml:space="preserve"> on questions of special education and rehabilitation needs at the request of educational institutions or parents.</w:t>
      </w:r>
      <w:r w:rsidR="00E03706" w:rsidRPr="00AF652D">
        <w:rPr>
          <w:rFonts w:ascii="Arial" w:hAnsi="Arial" w:cs="Arial"/>
          <w:sz w:val="24"/>
          <w:szCs w:val="24"/>
          <w:vertAlign w:val="superscript"/>
        </w:rPr>
        <w:footnoteReference w:id="8"/>
      </w:r>
    </w:p>
    <w:p w:rsidR="0097045D" w:rsidRPr="00AF652D" w:rsidRDefault="0097045D" w:rsidP="00AB2326">
      <w:pPr>
        <w:tabs>
          <w:tab w:val="left" w:pos="2694"/>
        </w:tabs>
        <w:spacing w:after="0" w:line="240" w:lineRule="auto"/>
        <w:jc w:val="both"/>
        <w:rPr>
          <w:rFonts w:ascii="Arial" w:hAnsi="Arial" w:cs="Arial"/>
          <w:sz w:val="24"/>
          <w:szCs w:val="24"/>
        </w:rPr>
      </w:pPr>
    </w:p>
    <w:p w:rsidR="002033EE" w:rsidRPr="00AF652D" w:rsidRDefault="005B7794"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Children </w:t>
      </w:r>
      <w:r w:rsidR="00EC0F7B" w:rsidRPr="00AF652D">
        <w:rPr>
          <w:rFonts w:ascii="Arial" w:hAnsi="Arial" w:cs="Arial"/>
          <w:sz w:val="24"/>
          <w:szCs w:val="24"/>
        </w:rPr>
        <w:t>receiving SEN qualification have</w:t>
      </w:r>
      <w:r w:rsidR="00340458" w:rsidRPr="00AF652D">
        <w:rPr>
          <w:rFonts w:ascii="Arial" w:hAnsi="Arial" w:cs="Arial"/>
          <w:sz w:val="24"/>
          <w:szCs w:val="24"/>
        </w:rPr>
        <w:t xml:space="preserve"> significantly less chance to participate in mainstream education both in general educational institutions and in </w:t>
      </w:r>
      <w:r w:rsidR="007432B0" w:rsidRPr="00AF652D">
        <w:rPr>
          <w:rFonts w:ascii="Arial" w:hAnsi="Arial" w:cs="Arial"/>
          <w:sz w:val="24"/>
          <w:szCs w:val="24"/>
        </w:rPr>
        <w:t xml:space="preserve">vocational training. </w:t>
      </w:r>
      <w:r w:rsidR="0097045D" w:rsidRPr="00AF652D">
        <w:rPr>
          <w:rFonts w:ascii="Arial" w:hAnsi="Arial" w:cs="Arial"/>
          <w:sz w:val="24"/>
          <w:szCs w:val="24"/>
        </w:rPr>
        <w:t xml:space="preserve">Table </w:t>
      </w:r>
      <w:r w:rsidR="008834E2" w:rsidRPr="00AF652D">
        <w:rPr>
          <w:rFonts w:ascii="Arial" w:hAnsi="Arial" w:cs="Arial"/>
          <w:sz w:val="24"/>
          <w:szCs w:val="24"/>
        </w:rPr>
        <w:t>2</w:t>
      </w:r>
      <w:r w:rsidR="0097045D" w:rsidRPr="00AF652D">
        <w:rPr>
          <w:rFonts w:ascii="Arial" w:hAnsi="Arial" w:cs="Arial"/>
          <w:sz w:val="24"/>
          <w:szCs w:val="24"/>
        </w:rPr>
        <w:t xml:space="preserve"> includes</w:t>
      </w:r>
      <w:r w:rsidR="007432B0" w:rsidRPr="00AF652D">
        <w:rPr>
          <w:rFonts w:ascii="Arial" w:hAnsi="Arial" w:cs="Arial"/>
          <w:sz w:val="24"/>
          <w:szCs w:val="24"/>
        </w:rPr>
        <w:t xml:space="preserve"> figures on special and integrated education of students with SEN in the schools offering vocational training programmes. </w:t>
      </w:r>
    </w:p>
    <w:p w:rsidR="00276431" w:rsidRPr="00AF652D" w:rsidRDefault="00276431" w:rsidP="00AB2326">
      <w:pPr>
        <w:tabs>
          <w:tab w:val="left" w:pos="2694"/>
        </w:tabs>
        <w:spacing w:after="0" w:line="240" w:lineRule="auto"/>
        <w:jc w:val="both"/>
        <w:rPr>
          <w:rFonts w:ascii="Arial" w:hAnsi="Arial" w:cs="Arial"/>
          <w:sz w:val="24"/>
          <w:szCs w:val="24"/>
        </w:rPr>
      </w:pPr>
    </w:p>
    <w:p w:rsidR="00276431" w:rsidRPr="00AF652D" w:rsidRDefault="00276431"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u w:val="single"/>
        </w:rPr>
        <w:lastRenderedPageBreak/>
        <w:t xml:space="preserve">Table </w:t>
      </w:r>
      <w:r w:rsidR="008834E2" w:rsidRPr="00AF652D">
        <w:rPr>
          <w:rFonts w:ascii="Arial" w:hAnsi="Arial" w:cs="Arial"/>
          <w:sz w:val="24"/>
          <w:szCs w:val="24"/>
          <w:u w:val="single"/>
        </w:rPr>
        <w:t>2</w:t>
      </w:r>
      <w:r w:rsidRPr="00AF652D">
        <w:rPr>
          <w:rFonts w:ascii="Arial" w:hAnsi="Arial" w:cs="Arial"/>
          <w:sz w:val="24"/>
          <w:szCs w:val="24"/>
          <w:u w:val="single"/>
        </w:rPr>
        <w:t>:</w:t>
      </w:r>
      <w:r w:rsidRPr="00AF652D">
        <w:rPr>
          <w:rFonts w:ascii="Arial" w:hAnsi="Arial" w:cs="Arial"/>
          <w:sz w:val="24"/>
          <w:szCs w:val="24"/>
        </w:rPr>
        <w:t xml:space="preserve"> Participation of children with SEN in special </w:t>
      </w:r>
      <w:r w:rsidR="001933AE" w:rsidRPr="00AF652D">
        <w:rPr>
          <w:rFonts w:ascii="Arial" w:hAnsi="Arial" w:cs="Arial"/>
          <w:sz w:val="24"/>
          <w:szCs w:val="24"/>
        </w:rPr>
        <w:t>and integrated vocational training institutions</w:t>
      </w:r>
      <w:r w:rsidR="001933AE" w:rsidRPr="00AF652D">
        <w:rPr>
          <w:rStyle w:val="FootnoteReference"/>
          <w:rFonts w:ascii="Arial" w:hAnsi="Arial" w:cs="Arial"/>
          <w:sz w:val="24"/>
          <w:szCs w:val="24"/>
        </w:rPr>
        <w:footnoteReference w:id="9"/>
      </w:r>
    </w:p>
    <w:p w:rsidR="00276431" w:rsidRPr="00AF652D" w:rsidRDefault="00276431" w:rsidP="00AB2326">
      <w:pPr>
        <w:tabs>
          <w:tab w:val="left" w:pos="2694"/>
        </w:tabs>
        <w:spacing w:after="0" w:line="240" w:lineRule="auto"/>
        <w:jc w:val="both"/>
        <w:rPr>
          <w:rFonts w:ascii="Arial" w:hAnsi="Arial" w:cs="Arial"/>
          <w:sz w:val="24"/>
          <w:szCs w:val="24"/>
        </w:rPr>
      </w:pPr>
    </w:p>
    <w:p w:rsidR="00276431" w:rsidRPr="00AF652D" w:rsidRDefault="00276431" w:rsidP="00AB2326">
      <w:pPr>
        <w:tabs>
          <w:tab w:val="left" w:pos="2694"/>
        </w:tabs>
        <w:spacing w:after="0" w:line="240" w:lineRule="auto"/>
        <w:jc w:val="both"/>
        <w:rPr>
          <w:rFonts w:ascii="Arial" w:hAnsi="Arial" w:cs="Arial"/>
          <w:sz w:val="24"/>
          <w:szCs w:val="24"/>
        </w:rPr>
      </w:pPr>
      <w:r w:rsidRPr="00AF652D">
        <w:rPr>
          <w:rFonts w:ascii="Arial" w:hAnsi="Arial" w:cs="Arial"/>
          <w:noProof/>
          <w:sz w:val="24"/>
          <w:szCs w:val="24"/>
          <w:lang w:eastAsia="hu-HU"/>
        </w:rPr>
        <w:drawing>
          <wp:inline distT="0" distB="0" distL="0" distR="0">
            <wp:extent cx="5734050" cy="5372100"/>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34050" cy="5372100"/>
                    </a:xfrm>
                    <a:prstGeom prst="rect">
                      <a:avLst/>
                    </a:prstGeom>
                    <a:noFill/>
                    <a:ln w="9525">
                      <a:noFill/>
                      <a:miter lim="800000"/>
                      <a:headEnd/>
                      <a:tailEnd/>
                    </a:ln>
                  </pic:spPr>
                </pic:pic>
              </a:graphicData>
            </a:graphic>
          </wp:inline>
        </w:drawing>
      </w:r>
    </w:p>
    <w:p w:rsidR="008755BA" w:rsidRPr="00AF652D" w:rsidRDefault="008755BA" w:rsidP="00AB2326">
      <w:pPr>
        <w:tabs>
          <w:tab w:val="left" w:pos="2694"/>
        </w:tabs>
        <w:spacing w:after="0" w:line="240" w:lineRule="auto"/>
        <w:jc w:val="both"/>
        <w:rPr>
          <w:rFonts w:ascii="Arial" w:hAnsi="Arial" w:cs="Arial"/>
          <w:sz w:val="24"/>
          <w:szCs w:val="24"/>
        </w:rPr>
      </w:pPr>
    </w:p>
    <w:p w:rsidR="00C1664F" w:rsidRPr="00AF652D" w:rsidRDefault="00892EA7"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Special vocational schools are specifically designed to </w:t>
      </w:r>
      <w:r w:rsidR="009B6025" w:rsidRPr="00AF652D">
        <w:rPr>
          <w:rFonts w:ascii="Arial" w:hAnsi="Arial" w:cs="Arial"/>
          <w:sz w:val="24"/>
          <w:szCs w:val="24"/>
        </w:rPr>
        <w:t xml:space="preserve">students with SEN. The figures below </w:t>
      </w:r>
      <w:r w:rsidR="00960FCC" w:rsidRPr="00AF652D">
        <w:rPr>
          <w:rFonts w:ascii="Arial" w:hAnsi="Arial" w:cs="Arial"/>
          <w:sz w:val="24"/>
          <w:szCs w:val="24"/>
        </w:rPr>
        <w:t>evidence</w:t>
      </w:r>
      <w:r w:rsidR="009B6025" w:rsidRPr="00AF652D">
        <w:rPr>
          <w:rFonts w:ascii="Arial" w:hAnsi="Arial" w:cs="Arial"/>
          <w:sz w:val="24"/>
          <w:szCs w:val="24"/>
        </w:rPr>
        <w:t xml:space="preserve"> the fact that most students with disabilities find the opportunity to </w:t>
      </w:r>
      <w:r w:rsidR="004E4955" w:rsidRPr="00AF652D">
        <w:rPr>
          <w:rFonts w:ascii="Arial" w:hAnsi="Arial" w:cs="Arial"/>
          <w:sz w:val="24"/>
          <w:szCs w:val="24"/>
        </w:rPr>
        <w:t xml:space="preserve">attend vocational training programmes </w:t>
      </w:r>
      <w:r w:rsidR="0075131B" w:rsidRPr="00AF652D">
        <w:rPr>
          <w:rFonts w:ascii="Arial" w:hAnsi="Arial" w:cs="Arial"/>
          <w:sz w:val="24"/>
          <w:szCs w:val="24"/>
        </w:rPr>
        <w:t>under segregated circumstances.</w:t>
      </w:r>
      <w:r w:rsidR="001735BD" w:rsidRPr="00AF652D">
        <w:rPr>
          <w:rFonts w:ascii="Arial" w:hAnsi="Arial" w:cs="Arial"/>
          <w:sz w:val="24"/>
          <w:szCs w:val="24"/>
        </w:rPr>
        <w:t xml:space="preserve"> In 2014/2015 the vocational training programmes prepared the students for 584 different vocational qualifications: of these 310 </w:t>
      </w:r>
      <w:r w:rsidR="0057793E" w:rsidRPr="00AF652D">
        <w:rPr>
          <w:rFonts w:ascii="Arial" w:hAnsi="Arial" w:cs="Arial"/>
          <w:sz w:val="24"/>
          <w:szCs w:val="24"/>
        </w:rPr>
        <w:t>were available in vocational schools</w:t>
      </w:r>
      <w:r w:rsidR="001735BD" w:rsidRPr="00AF652D">
        <w:rPr>
          <w:rFonts w:ascii="Arial" w:hAnsi="Arial" w:cs="Arial"/>
          <w:sz w:val="24"/>
          <w:szCs w:val="24"/>
        </w:rPr>
        <w:t xml:space="preserve">, 87 </w:t>
      </w:r>
      <w:r w:rsidR="0057793E" w:rsidRPr="00AF652D">
        <w:rPr>
          <w:rFonts w:ascii="Arial" w:hAnsi="Arial" w:cs="Arial"/>
          <w:sz w:val="24"/>
          <w:szCs w:val="24"/>
        </w:rPr>
        <w:t>is special vocational schools</w:t>
      </w:r>
      <w:r w:rsidR="001735BD" w:rsidRPr="00AF652D">
        <w:rPr>
          <w:rFonts w:ascii="Arial" w:hAnsi="Arial" w:cs="Arial"/>
          <w:sz w:val="24"/>
          <w:szCs w:val="24"/>
        </w:rPr>
        <w:t xml:space="preserve">, and 295 </w:t>
      </w:r>
      <w:r w:rsidR="0057793E" w:rsidRPr="00AF652D">
        <w:rPr>
          <w:rFonts w:ascii="Arial" w:hAnsi="Arial" w:cs="Arial"/>
          <w:sz w:val="24"/>
          <w:szCs w:val="24"/>
        </w:rPr>
        <w:t>vocational secondary schools</w:t>
      </w:r>
      <w:r w:rsidR="001735BD" w:rsidRPr="00AF652D">
        <w:rPr>
          <w:rFonts w:ascii="Arial" w:hAnsi="Arial" w:cs="Arial"/>
          <w:sz w:val="24"/>
          <w:szCs w:val="24"/>
        </w:rPr>
        <w:t>.</w:t>
      </w:r>
      <w:r w:rsidR="0057793E" w:rsidRPr="00AF652D">
        <w:rPr>
          <w:rFonts w:ascii="Arial" w:hAnsi="Arial" w:cs="Arial"/>
          <w:sz w:val="24"/>
          <w:szCs w:val="24"/>
          <w:vertAlign w:val="superscript"/>
        </w:rPr>
        <w:footnoteReference w:id="10"/>
      </w:r>
      <w:r w:rsidR="00AE420E" w:rsidRPr="00AF652D">
        <w:rPr>
          <w:rFonts w:ascii="Arial" w:hAnsi="Arial" w:cs="Arial"/>
          <w:sz w:val="24"/>
          <w:szCs w:val="24"/>
        </w:rPr>
        <w:t xml:space="preserve"> </w:t>
      </w:r>
      <w:r w:rsidR="00C1664F" w:rsidRPr="00AF652D">
        <w:rPr>
          <w:rFonts w:ascii="Arial" w:hAnsi="Arial" w:cs="Arial"/>
          <w:sz w:val="24"/>
          <w:szCs w:val="24"/>
        </w:rPr>
        <w:t xml:space="preserve">However, in some other </w:t>
      </w:r>
      <w:proofErr w:type="gramStart"/>
      <w:r w:rsidR="00C1664F" w:rsidRPr="00AF652D">
        <w:rPr>
          <w:rFonts w:ascii="Arial" w:hAnsi="Arial" w:cs="Arial"/>
          <w:sz w:val="24"/>
          <w:szCs w:val="24"/>
        </w:rPr>
        <w:t>aspects</w:t>
      </w:r>
      <w:proofErr w:type="gramEnd"/>
      <w:r w:rsidR="00C1664F" w:rsidRPr="00AF652D">
        <w:rPr>
          <w:rFonts w:ascii="Arial" w:hAnsi="Arial" w:cs="Arial"/>
          <w:sz w:val="24"/>
          <w:szCs w:val="24"/>
        </w:rPr>
        <w:t xml:space="preserve">, special vocational schools </w:t>
      </w:r>
      <w:r w:rsidR="001A3FA5" w:rsidRPr="00AF652D">
        <w:rPr>
          <w:rFonts w:ascii="Arial" w:hAnsi="Arial" w:cs="Arial"/>
          <w:sz w:val="24"/>
          <w:szCs w:val="24"/>
        </w:rPr>
        <w:t xml:space="preserve">were in a </w:t>
      </w:r>
      <w:r w:rsidR="00BE5862" w:rsidRPr="00AF652D">
        <w:rPr>
          <w:rFonts w:ascii="Arial" w:hAnsi="Arial" w:cs="Arial"/>
          <w:sz w:val="24"/>
          <w:szCs w:val="24"/>
        </w:rPr>
        <w:t>preferential</w:t>
      </w:r>
      <w:r w:rsidR="001A3FA5" w:rsidRPr="00AF652D">
        <w:rPr>
          <w:rFonts w:ascii="Arial" w:hAnsi="Arial" w:cs="Arial"/>
          <w:sz w:val="24"/>
          <w:szCs w:val="24"/>
        </w:rPr>
        <w:t xml:space="preserve"> situation compared to other institutions. In 2014/2015, the student/teacher ratio was </w:t>
      </w:r>
      <w:r w:rsidR="008C1866" w:rsidRPr="00AF652D">
        <w:rPr>
          <w:rFonts w:ascii="Arial" w:hAnsi="Arial" w:cs="Arial"/>
          <w:sz w:val="24"/>
          <w:szCs w:val="24"/>
        </w:rPr>
        <w:t>lower in special vocat</w:t>
      </w:r>
      <w:r w:rsidR="00131BA6" w:rsidRPr="00AF652D">
        <w:rPr>
          <w:rFonts w:ascii="Arial" w:hAnsi="Arial" w:cs="Arial"/>
          <w:sz w:val="24"/>
          <w:szCs w:val="24"/>
        </w:rPr>
        <w:t>ional schools compared to second</w:t>
      </w:r>
      <w:r w:rsidR="008C1866" w:rsidRPr="00AF652D">
        <w:rPr>
          <w:rFonts w:ascii="Arial" w:hAnsi="Arial" w:cs="Arial"/>
          <w:sz w:val="24"/>
          <w:szCs w:val="24"/>
        </w:rPr>
        <w:t>ary general schools</w:t>
      </w:r>
      <w:r w:rsidR="00D55CEC" w:rsidRPr="00AF652D">
        <w:rPr>
          <w:rFonts w:ascii="Arial" w:hAnsi="Arial" w:cs="Arial"/>
          <w:sz w:val="24"/>
          <w:szCs w:val="24"/>
        </w:rPr>
        <w:t>, secondary vocational schools</w:t>
      </w:r>
      <w:r w:rsidR="008C1866" w:rsidRPr="00AF652D">
        <w:rPr>
          <w:rFonts w:ascii="Arial" w:hAnsi="Arial" w:cs="Arial"/>
          <w:sz w:val="24"/>
          <w:szCs w:val="24"/>
        </w:rPr>
        <w:t xml:space="preserve"> and vocational schools</w:t>
      </w:r>
      <w:r w:rsidR="001A3FA5" w:rsidRPr="00AF652D">
        <w:rPr>
          <w:rFonts w:ascii="Arial" w:hAnsi="Arial" w:cs="Arial"/>
          <w:sz w:val="24"/>
          <w:szCs w:val="24"/>
        </w:rPr>
        <w:t xml:space="preserve">. The average class size was </w:t>
      </w:r>
      <w:r w:rsidR="00D55CEC" w:rsidRPr="00AF652D">
        <w:rPr>
          <w:rFonts w:ascii="Arial" w:hAnsi="Arial" w:cs="Arial"/>
          <w:sz w:val="24"/>
          <w:szCs w:val="24"/>
        </w:rPr>
        <w:t xml:space="preserve">also lower in special vocational schools than in the other </w:t>
      </w:r>
      <w:r w:rsidR="00B8287C" w:rsidRPr="00AF652D">
        <w:rPr>
          <w:rFonts w:ascii="Arial" w:hAnsi="Arial" w:cs="Arial"/>
          <w:sz w:val="24"/>
          <w:szCs w:val="24"/>
        </w:rPr>
        <w:t>three types of schools mentioned above.</w:t>
      </w:r>
      <w:r w:rsidR="00B149F5" w:rsidRPr="00AF652D">
        <w:rPr>
          <w:rFonts w:ascii="Arial" w:hAnsi="Arial" w:cs="Arial"/>
          <w:sz w:val="24"/>
          <w:szCs w:val="24"/>
          <w:vertAlign w:val="superscript"/>
        </w:rPr>
        <w:footnoteReference w:id="11"/>
      </w:r>
    </w:p>
    <w:p w:rsidR="00186F0E" w:rsidRPr="00AF652D" w:rsidRDefault="00186F0E" w:rsidP="00AB2326">
      <w:pPr>
        <w:tabs>
          <w:tab w:val="left" w:pos="2694"/>
        </w:tabs>
        <w:spacing w:after="0" w:line="240" w:lineRule="auto"/>
        <w:rPr>
          <w:rFonts w:ascii="Arial" w:hAnsi="Arial" w:cs="Arial"/>
          <w:sz w:val="24"/>
          <w:szCs w:val="24"/>
        </w:rPr>
      </w:pPr>
    </w:p>
    <w:p w:rsidR="00185ECB" w:rsidRPr="00AF652D" w:rsidRDefault="00185ECB"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In 2015 the Government announced a new strategy on vocational training.</w:t>
      </w:r>
      <w:r w:rsidR="00BE5862" w:rsidRPr="00AF652D">
        <w:rPr>
          <w:rStyle w:val="FootnoteReference"/>
          <w:rFonts w:ascii="Arial" w:hAnsi="Arial" w:cs="Arial"/>
          <w:sz w:val="24"/>
          <w:szCs w:val="24"/>
        </w:rPr>
        <w:footnoteReference w:id="12"/>
      </w:r>
      <w:r w:rsidR="008E666D" w:rsidRPr="00AF652D">
        <w:rPr>
          <w:rFonts w:ascii="Arial" w:hAnsi="Arial" w:cs="Arial"/>
          <w:sz w:val="24"/>
          <w:szCs w:val="24"/>
        </w:rPr>
        <w:t xml:space="preserve"> </w:t>
      </w:r>
      <w:r w:rsidR="006C5D37" w:rsidRPr="00AF652D">
        <w:rPr>
          <w:rFonts w:ascii="Arial" w:hAnsi="Arial" w:cs="Arial"/>
          <w:sz w:val="24"/>
          <w:szCs w:val="24"/>
        </w:rPr>
        <w:t xml:space="preserve">The goal of the reform package was to </w:t>
      </w:r>
      <w:r w:rsidR="00767D57" w:rsidRPr="00AF652D">
        <w:rPr>
          <w:rFonts w:ascii="Arial" w:hAnsi="Arial" w:cs="Arial"/>
          <w:sz w:val="24"/>
          <w:szCs w:val="24"/>
        </w:rPr>
        <w:t>make</w:t>
      </w:r>
      <w:r w:rsidR="00AE420E" w:rsidRPr="00AF652D">
        <w:rPr>
          <w:rFonts w:ascii="Arial" w:hAnsi="Arial" w:cs="Arial"/>
          <w:sz w:val="24"/>
          <w:szCs w:val="24"/>
        </w:rPr>
        <w:t xml:space="preserve"> </w:t>
      </w:r>
      <w:r w:rsidR="00077225" w:rsidRPr="00AF652D">
        <w:rPr>
          <w:rFonts w:ascii="Arial" w:hAnsi="Arial" w:cs="Arial"/>
          <w:sz w:val="24"/>
          <w:szCs w:val="24"/>
        </w:rPr>
        <w:t>vocational school programmes more attractive, more accessible for young people</w:t>
      </w:r>
      <w:r w:rsidR="00E03F95" w:rsidRPr="00AF652D">
        <w:rPr>
          <w:rFonts w:ascii="Arial" w:hAnsi="Arial" w:cs="Arial"/>
          <w:sz w:val="24"/>
          <w:szCs w:val="24"/>
        </w:rPr>
        <w:t xml:space="preserve">, and to provide </w:t>
      </w:r>
      <w:r w:rsidR="007B3331" w:rsidRPr="00AF652D">
        <w:rPr>
          <w:rFonts w:ascii="Arial" w:hAnsi="Arial" w:cs="Arial"/>
          <w:sz w:val="24"/>
          <w:szCs w:val="24"/>
        </w:rPr>
        <w:t xml:space="preserve">them </w:t>
      </w:r>
      <w:r w:rsidR="00E03F95" w:rsidRPr="00AF652D">
        <w:rPr>
          <w:rFonts w:ascii="Arial" w:hAnsi="Arial" w:cs="Arial"/>
          <w:sz w:val="24"/>
          <w:szCs w:val="24"/>
        </w:rPr>
        <w:t xml:space="preserve">more practice-oriented knowledge </w:t>
      </w:r>
      <w:r w:rsidR="00B04869" w:rsidRPr="00AF652D">
        <w:rPr>
          <w:rFonts w:ascii="Arial" w:hAnsi="Arial" w:cs="Arial"/>
          <w:sz w:val="24"/>
          <w:szCs w:val="24"/>
        </w:rPr>
        <w:t>to increase their chances in the labour market</w:t>
      </w:r>
      <w:r w:rsidR="005063C3" w:rsidRPr="00AF652D">
        <w:rPr>
          <w:rFonts w:ascii="Arial" w:hAnsi="Arial" w:cs="Arial"/>
          <w:sz w:val="24"/>
          <w:szCs w:val="24"/>
        </w:rPr>
        <w:t>.</w:t>
      </w:r>
      <w:r w:rsidR="00AE420E" w:rsidRPr="00AF652D">
        <w:rPr>
          <w:rFonts w:ascii="Arial" w:hAnsi="Arial" w:cs="Arial"/>
          <w:sz w:val="24"/>
          <w:szCs w:val="24"/>
        </w:rPr>
        <w:t xml:space="preserve"> </w:t>
      </w:r>
      <w:r w:rsidR="00121B04" w:rsidRPr="00AF652D">
        <w:rPr>
          <w:rFonts w:ascii="Arial" w:hAnsi="Arial" w:cs="Arial"/>
          <w:sz w:val="24"/>
          <w:szCs w:val="24"/>
        </w:rPr>
        <w:t xml:space="preserve">The </w:t>
      </w:r>
      <w:r w:rsidR="00DE51D1" w:rsidRPr="00AF652D">
        <w:rPr>
          <w:rFonts w:ascii="Arial" w:hAnsi="Arial" w:cs="Arial"/>
          <w:sz w:val="24"/>
          <w:szCs w:val="24"/>
        </w:rPr>
        <w:t xml:space="preserve">emigration </w:t>
      </w:r>
      <w:r w:rsidR="00121B04" w:rsidRPr="00AF652D">
        <w:rPr>
          <w:rFonts w:ascii="Arial" w:hAnsi="Arial" w:cs="Arial"/>
          <w:sz w:val="24"/>
          <w:szCs w:val="24"/>
        </w:rPr>
        <w:t xml:space="preserve">of </w:t>
      </w:r>
      <w:r w:rsidR="00DE51D1" w:rsidRPr="00AF652D">
        <w:rPr>
          <w:rFonts w:ascii="Arial" w:hAnsi="Arial" w:cs="Arial"/>
          <w:sz w:val="24"/>
          <w:szCs w:val="24"/>
        </w:rPr>
        <w:t xml:space="preserve">skilled manpower </w:t>
      </w:r>
      <w:r w:rsidR="004C4B67" w:rsidRPr="00AF652D">
        <w:rPr>
          <w:rFonts w:ascii="Arial" w:hAnsi="Arial" w:cs="Arial"/>
          <w:sz w:val="24"/>
          <w:szCs w:val="24"/>
        </w:rPr>
        <w:t xml:space="preserve">from Hungary resulted in a severe lack of labour force in several branches. Involving of young people with social disadvantages, including </w:t>
      </w:r>
      <w:r w:rsidR="00741C83" w:rsidRPr="00AF652D">
        <w:rPr>
          <w:rFonts w:ascii="Arial" w:hAnsi="Arial" w:cs="Arial"/>
          <w:sz w:val="24"/>
          <w:szCs w:val="24"/>
        </w:rPr>
        <w:t xml:space="preserve">young people with SEN, </w:t>
      </w:r>
      <w:r w:rsidR="004C4B67" w:rsidRPr="00AF652D">
        <w:rPr>
          <w:rFonts w:ascii="Arial" w:hAnsi="Arial" w:cs="Arial"/>
          <w:sz w:val="24"/>
          <w:szCs w:val="24"/>
        </w:rPr>
        <w:t>in vocational training programmes</w:t>
      </w:r>
      <w:r w:rsidR="00E33B5B" w:rsidRPr="00AF652D">
        <w:rPr>
          <w:rFonts w:ascii="Arial" w:hAnsi="Arial" w:cs="Arial"/>
          <w:sz w:val="24"/>
          <w:szCs w:val="24"/>
        </w:rPr>
        <w:t xml:space="preserve"> in these branches, </w:t>
      </w:r>
      <w:r w:rsidR="00741C83" w:rsidRPr="00AF652D">
        <w:rPr>
          <w:rFonts w:ascii="Arial" w:hAnsi="Arial" w:cs="Arial"/>
          <w:sz w:val="24"/>
          <w:szCs w:val="24"/>
        </w:rPr>
        <w:t xml:space="preserve">could </w:t>
      </w:r>
      <w:r w:rsidR="00CA515B" w:rsidRPr="00AF652D">
        <w:rPr>
          <w:rFonts w:ascii="Arial" w:hAnsi="Arial" w:cs="Arial"/>
          <w:sz w:val="24"/>
          <w:szCs w:val="24"/>
        </w:rPr>
        <w:t xml:space="preserve">presumably </w:t>
      </w:r>
      <w:r w:rsidR="00741C83" w:rsidRPr="00AF652D">
        <w:rPr>
          <w:rFonts w:ascii="Arial" w:hAnsi="Arial" w:cs="Arial"/>
          <w:sz w:val="24"/>
          <w:szCs w:val="24"/>
        </w:rPr>
        <w:t xml:space="preserve">effectively increase </w:t>
      </w:r>
      <w:r w:rsidR="00CA515B" w:rsidRPr="00AF652D">
        <w:rPr>
          <w:rFonts w:ascii="Arial" w:hAnsi="Arial" w:cs="Arial"/>
          <w:sz w:val="24"/>
          <w:szCs w:val="24"/>
        </w:rPr>
        <w:t xml:space="preserve">their </w:t>
      </w:r>
      <w:r w:rsidR="00741C83" w:rsidRPr="00AF652D">
        <w:rPr>
          <w:rFonts w:ascii="Arial" w:hAnsi="Arial" w:cs="Arial"/>
          <w:sz w:val="24"/>
          <w:szCs w:val="24"/>
        </w:rPr>
        <w:t>employability.</w:t>
      </w:r>
      <w:r w:rsidR="00AE420E" w:rsidRPr="00AF652D">
        <w:rPr>
          <w:rFonts w:ascii="Arial" w:hAnsi="Arial" w:cs="Arial"/>
          <w:sz w:val="24"/>
          <w:szCs w:val="24"/>
        </w:rPr>
        <w:t xml:space="preserve"> </w:t>
      </w:r>
      <w:r w:rsidR="007953ED" w:rsidRPr="00AF652D">
        <w:rPr>
          <w:rFonts w:ascii="Arial" w:hAnsi="Arial" w:cs="Arial"/>
          <w:sz w:val="24"/>
          <w:szCs w:val="24"/>
        </w:rPr>
        <w:t>The most important elements of the reform are the followings.</w:t>
      </w:r>
    </w:p>
    <w:p w:rsidR="007E5A48" w:rsidRPr="00AF652D" w:rsidRDefault="007E5A48" w:rsidP="00AB2326">
      <w:pPr>
        <w:tabs>
          <w:tab w:val="left" w:pos="2694"/>
        </w:tabs>
        <w:spacing w:after="0" w:line="240" w:lineRule="auto"/>
        <w:rPr>
          <w:rFonts w:ascii="Arial" w:hAnsi="Arial" w:cs="Arial"/>
          <w:sz w:val="24"/>
          <w:szCs w:val="24"/>
        </w:rPr>
      </w:pPr>
    </w:p>
    <w:p w:rsidR="00A7264B" w:rsidRPr="00AF652D" w:rsidRDefault="007953ED" w:rsidP="00AB2326">
      <w:pPr>
        <w:pStyle w:val="ListParagraph"/>
        <w:numPr>
          <w:ilvl w:val="0"/>
          <w:numId w:val="16"/>
        </w:numPr>
        <w:tabs>
          <w:tab w:val="left" w:pos="2694"/>
        </w:tabs>
        <w:spacing w:after="0" w:line="240" w:lineRule="auto"/>
        <w:ind w:left="567" w:hanging="567"/>
        <w:jc w:val="both"/>
        <w:rPr>
          <w:rFonts w:ascii="Arial" w:hAnsi="Arial" w:cs="Arial"/>
          <w:i/>
          <w:sz w:val="24"/>
          <w:szCs w:val="24"/>
        </w:rPr>
      </w:pPr>
      <w:r w:rsidRPr="00AF652D">
        <w:rPr>
          <w:rFonts w:ascii="Arial" w:hAnsi="Arial" w:cs="Arial"/>
          <w:sz w:val="24"/>
          <w:szCs w:val="24"/>
        </w:rPr>
        <w:t>A new institutional structure has been introduced</w:t>
      </w:r>
      <w:r w:rsidR="00D47E00" w:rsidRPr="00AF652D">
        <w:rPr>
          <w:rFonts w:ascii="Arial" w:hAnsi="Arial" w:cs="Arial"/>
          <w:sz w:val="24"/>
          <w:szCs w:val="24"/>
        </w:rPr>
        <w:t xml:space="preserve"> re</w:t>
      </w:r>
      <w:r w:rsidR="00AE420E" w:rsidRPr="00AF652D">
        <w:rPr>
          <w:rFonts w:ascii="Arial" w:hAnsi="Arial" w:cs="Arial"/>
          <w:sz w:val="24"/>
          <w:szCs w:val="24"/>
        </w:rPr>
        <w:t>-</w:t>
      </w:r>
      <w:r w:rsidR="00D47E00" w:rsidRPr="00AF652D">
        <w:rPr>
          <w:rFonts w:ascii="Arial" w:hAnsi="Arial" w:cs="Arial"/>
          <w:sz w:val="24"/>
          <w:szCs w:val="24"/>
        </w:rPr>
        <w:t xml:space="preserve">nominating </w:t>
      </w:r>
      <w:r w:rsidR="00612B71" w:rsidRPr="00AF652D">
        <w:rPr>
          <w:rFonts w:ascii="Arial" w:hAnsi="Arial" w:cs="Arial"/>
          <w:sz w:val="24"/>
          <w:szCs w:val="24"/>
        </w:rPr>
        <w:t xml:space="preserve">and reorganising </w:t>
      </w:r>
      <w:r w:rsidR="00D47E00" w:rsidRPr="00AF652D">
        <w:rPr>
          <w:rFonts w:ascii="Arial" w:hAnsi="Arial" w:cs="Arial"/>
          <w:sz w:val="24"/>
          <w:szCs w:val="24"/>
        </w:rPr>
        <w:t xml:space="preserve">the types of </w:t>
      </w:r>
      <w:r w:rsidR="00612B71" w:rsidRPr="00AF652D">
        <w:rPr>
          <w:rFonts w:ascii="Arial" w:hAnsi="Arial" w:cs="Arial"/>
          <w:sz w:val="24"/>
          <w:szCs w:val="24"/>
        </w:rPr>
        <w:t>institutions and programmes in vocational trainin</w:t>
      </w:r>
      <w:r w:rsidR="00A7264B" w:rsidRPr="00AF652D">
        <w:rPr>
          <w:rFonts w:ascii="Arial" w:hAnsi="Arial" w:cs="Arial"/>
          <w:sz w:val="24"/>
          <w:szCs w:val="24"/>
        </w:rPr>
        <w:t>g.</w:t>
      </w:r>
    </w:p>
    <w:p w:rsidR="00185ECB" w:rsidRPr="00AF652D" w:rsidRDefault="007E5A48"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The vocational programmes become more practice-oriented</w:t>
      </w:r>
      <w:r w:rsidR="009709FE" w:rsidRPr="00AF652D">
        <w:rPr>
          <w:rFonts w:ascii="Arial" w:hAnsi="Arial" w:cs="Arial"/>
          <w:sz w:val="24"/>
          <w:szCs w:val="24"/>
        </w:rPr>
        <w:t>.</w:t>
      </w:r>
      <w:r w:rsidR="00AE420E" w:rsidRPr="00AF652D">
        <w:rPr>
          <w:rFonts w:ascii="Arial" w:hAnsi="Arial" w:cs="Arial"/>
          <w:sz w:val="24"/>
          <w:szCs w:val="24"/>
        </w:rPr>
        <w:t xml:space="preserve"> </w:t>
      </w:r>
      <w:r w:rsidR="009709FE" w:rsidRPr="00AF652D">
        <w:rPr>
          <w:rFonts w:ascii="Arial" w:hAnsi="Arial" w:cs="Arial"/>
          <w:sz w:val="24"/>
          <w:szCs w:val="24"/>
        </w:rPr>
        <w:t>T</w:t>
      </w:r>
      <w:r w:rsidR="00EF41CD" w:rsidRPr="00AF652D">
        <w:rPr>
          <w:rFonts w:ascii="Arial" w:hAnsi="Arial" w:cs="Arial"/>
          <w:sz w:val="24"/>
          <w:szCs w:val="24"/>
        </w:rPr>
        <w:t xml:space="preserve">he compulsory </w:t>
      </w:r>
      <w:r w:rsidR="00BE016C" w:rsidRPr="00AF652D">
        <w:rPr>
          <w:rFonts w:ascii="Arial" w:hAnsi="Arial" w:cs="Arial"/>
          <w:sz w:val="24"/>
          <w:szCs w:val="24"/>
        </w:rPr>
        <w:t xml:space="preserve">school </w:t>
      </w:r>
      <w:r w:rsidR="00EF41CD" w:rsidRPr="00AF652D">
        <w:rPr>
          <w:rFonts w:ascii="Arial" w:hAnsi="Arial" w:cs="Arial"/>
          <w:sz w:val="24"/>
          <w:szCs w:val="24"/>
        </w:rPr>
        <w:t>material include</w:t>
      </w:r>
      <w:r w:rsidR="00BE016C" w:rsidRPr="00AF652D">
        <w:rPr>
          <w:rFonts w:ascii="Arial" w:hAnsi="Arial" w:cs="Arial"/>
          <w:sz w:val="24"/>
          <w:szCs w:val="24"/>
        </w:rPr>
        <w:t>s</w:t>
      </w:r>
      <w:r w:rsidR="00EF41CD" w:rsidRPr="00AF652D">
        <w:rPr>
          <w:rFonts w:ascii="Arial" w:hAnsi="Arial" w:cs="Arial"/>
          <w:sz w:val="24"/>
          <w:szCs w:val="24"/>
        </w:rPr>
        <w:t xml:space="preserve"> a </w:t>
      </w:r>
      <w:r w:rsidR="00BE016C" w:rsidRPr="00AF652D">
        <w:rPr>
          <w:rFonts w:ascii="Arial" w:hAnsi="Arial" w:cs="Arial"/>
          <w:sz w:val="24"/>
          <w:szCs w:val="24"/>
        </w:rPr>
        <w:t xml:space="preserve">lower </w:t>
      </w:r>
      <w:r w:rsidR="00EF41CD" w:rsidRPr="00AF652D">
        <w:rPr>
          <w:rFonts w:ascii="Arial" w:hAnsi="Arial" w:cs="Arial"/>
          <w:sz w:val="24"/>
          <w:szCs w:val="24"/>
        </w:rPr>
        <w:t xml:space="preserve">proportion of </w:t>
      </w:r>
      <w:r w:rsidR="00BE016C" w:rsidRPr="00AF652D">
        <w:rPr>
          <w:rFonts w:ascii="Arial" w:hAnsi="Arial" w:cs="Arial"/>
          <w:sz w:val="24"/>
          <w:szCs w:val="24"/>
        </w:rPr>
        <w:t xml:space="preserve">general knowledge, </w:t>
      </w:r>
      <w:r w:rsidR="00957039" w:rsidRPr="00AF652D">
        <w:rPr>
          <w:rFonts w:ascii="Arial" w:hAnsi="Arial" w:cs="Arial"/>
          <w:sz w:val="24"/>
          <w:szCs w:val="24"/>
        </w:rPr>
        <w:t xml:space="preserve">while </w:t>
      </w:r>
      <w:r w:rsidR="009302A8" w:rsidRPr="00AF652D">
        <w:rPr>
          <w:rFonts w:ascii="Arial" w:hAnsi="Arial" w:cs="Arial"/>
          <w:sz w:val="24"/>
          <w:szCs w:val="24"/>
        </w:rPr>
        <w:t xml:space="preserve">professional content and apprenticeship will be </w:t>
      </w:r>
      <w:r w:rsidR="00BE016C" w:rsidRPr="00AF652D">
        <w:rPr>
          <w:rFonts w:ascii="Arial" w:hAnsi="Arial" w:cs="Arial"/>
          <w:sz w:val="24"/>
          <w:szCs w:val="24"/>
        </w:rPr>
        <w:t>more dominant</w:t>
      </w:r>
      <w:r w:rsidR="007204CE" w:rsidRPr="00AF652D">
        <w:rPr>
          <w:rFonts w:ascii="Arial" w:hAnsi="Arial" w:cs="Arial"/>
          <w:sz w:val="24"/>
          <w:szCs w:val="24"/>
        </w:rPr>
        <w:t>.</w:t>
      </w:r>
      <w:r w:rsidR="009709FE" w:rsidRPr="00AF652D">
        <w:rPr>
          <w:rFonts w:ascii="Arial" w:hAnsi="Arial" w:cs="Arial"/>
          <w:sz w:val="24"/>
          <w:szCs w:val="24"/>
        </w:rPr>
        <w:t xml:space="preserve"> The </w:t>
      </w:r>
      <w:r w:rsidR="00A96176" w:rsidRPr="00AF652D">
        <w:rPr>
          <w:rFonts w:ascii="Arial" w:hAnsi="Arial" w:cs="Arial"/>
          <w:sz w:val="24"/>
          <w:szCs w:val="24"/>
        </w:rPr>
        <w:t>number of “</w:t>
      </w:r>
      <w:r w:rsidR="009302A8" w:rsidRPr="00AF652D">
        <w:rPr>
          <w:rFonts w:ascii="Arial" w:hAnsi="Arial" w:cs="Arial"/>
          <w:sz w:val="24"/>
          <w:szCs w:val="24"/>
        </w:rPr>
        <w:t>apprentice</w:t>
      </w:r>
      <w:r w:rsidR="00A96176" w:rsidRPr="00AF652D">
        <w:rPr>
          <w:rFonts w:ascii="Arial" w:hAnsi="Arial" w:cs="Arial"/>
          <w:sz w:val="24"/>
          <w:szCs w:val="24"/>
        </w:rPr>
        <w:t xml:space="preserve"> agreements” providing </w:t>
      </w:r>
      <w:r w:rsidR="009302A8" w:rsidRPr="00AF652D">
        <w:rPr>
          <w:rFonts w:ascii="Arial" w:hAnsi="Arial" w:cs="Arial"/>
          <w:sz w:val="24"/>
          <w:szCs w:val="24"/>
        </w:rPr>
        <w:t>apprenticeship</w:t>
      </w:r>
      <w:r w:rsidR="00A96176" w:rsidRPr="00AF652D">
        <w:rPr>
          <w:rFonts w:ascii="Arial" w:hAnsi="Arial" w:cs="Arial"/>
          <w:sz w:val="24"/>
          <w:szCs w:val="24"/>
        </w:rPr>
        <w:t xml:space="preserve"> for students in vocational training at companies are expected to </w:t>
      </w:r>
      <w:r w:rsidR="004B0684" w:rsidRPr="00AF652D">
        <w:rPr>
          <w:rFonts w:ascii="Arial" w:hAnsi="Arial" w:cs="Arial"/>
          <w:sz w:val="24"/>
          <w:szCs w:val="24"/>
        </w:rPr>
        <w:t xml:space="preserve">rise from 50.000 to 70.000 by 2018. </w:t>
      </w:r>
    </w:p>
    <w:p w:rsidR="007204CE" w:rsidRPr="00AF652D" w:rsidRDefault="007204CE"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The Bridge-programmes are divided into two </w:t>
      </w:r>
      <w:r w:rsidR="00995AEC" w:rsidRPr="00AF652D">
        <w:rPr>
          <w:rFonts w:ascii="Arial" w:hAnsi="Arial" w:cs="Arial"/>
          <w:sz w:val="24"/>
          <w:szCs w:val="24"/>
        </w:rPr>
        <w:t>branches</w:t>
      </w:r>
      <w:r w:rsidRPr="00AF652D">
        <w:rPr>
          <w:rFonts w:ascii="Arial" w:hAnsi="Arial" w:cs="Arial"/>
          <w:sz w:val="24"/>
          <w:szCs w:val="24"/>
        </w:rPr>
        <w:t xml:space="preserve">: Public Educational Bridge and </w:t>
      </w:r>
      <w:r w:rsidR="00995AEC" w:rsidRPr="00AF652D">
        <w:rPr>
          <w:rFonts w:ascii="Arial" w:hAnsi="Arial" w:cs="Arial"/>
          <w:sz w:val="24"/>
          <w:szCs w:val="24"/>
        </w:rPr>
        <w:t xml:space="preserve">Vocational Training </w:t>
      </w:r>
      <w:proofErr w:type="spellStart"/>
      <w:r w:rsidR="00995AEC" w:rsidRPr="00AF652D">
        <w:rPr>
          <w:rFonts w:ascii="Arial" w:hAnsi="Arial" w:cs="Arial"/>
          <w:sz w:val="24"/>
          <w:szCs w:val="24"/>
        </w:rPr>
        <w:t>Bridge.</w:t>
      </w:r>
      <w:r w:rsidR="00E63CE2" w:rsidRPr="00AF652D">
        <w:rPr>
          <w:rFonts w:ascii="Arial" w:hAnsi="Arial" w:cs="Arial"/>
          <w:sz w:val="24"/>
          <w:szCs w:val="24"/>
        </w:rPr>
        <w:t>The</w:t>
      </w:r>
      <w:proofErr w:type="spellEnd"/>
      <w:r w:rsidR="00E63CE2" w:rsidRPr="00AF652D">
        <w:rPr>
          <w:rFonts w:ascii="Arial" w:hAnsi="Arial" w:cs="Arial"/>
          <w:sz w:val="24"/>
          <w:szCs w:val="24"/>
        </w:rPr>
        <w:t xml:space="preserve"> goal of the division was to help low achieving pupils with poor perspectives to future participation in tertiary education to complete at least a vocational training programme.</w:t>
      </w:r>
    </w:p>
    <w:p w:rsidR="00995AEC" w:rsidRPr="00AF652D" w:rsidRDefault="000B0B93"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Multifaceted incentives motivate </w:t>
      </w:r>
      <w:r w:rsidR="00BE016C" w:rsidRPr="00AF652D">
        <w:rPr>
          <w:rFonts w:ascii="Arial" w:hAnsi="Arial" w:cs="Arial"/>
          <w:sz w:val="24"/>
          <w:szCs w:val="24"/>
        </w:rPr>
        <w:t>companies</w:t>
      </w:r>
      <w:r w:rsidRPr="00AF652D">
        <w:rPr>
          <w:rFonts w:ascii="Arial" w:hAnsi="Arial" w:cs="Arial"/>
          <w:sz w:val="24"/>
          <w:szCs w:val="24"/>
        </w:rPr>
        <w:t xml:space="preserve"> to employ students of vocational training programmes as </w:t>
      </w:r>
      <w:r w:rsidR="00156247" w:rsidRPr="00AF652D">
        <w:rPr>
          <w:rFonts w:ascii="Arial" w:hAnsi="Arial" w:cs="Arial"/>
          <w:sz w:val="24"/>
          <w:szCs w:val="24"/>
        </w:rPr>
        <w:t>apprentices</w:t>
      </w:r>
      <w:r w:rsidRPr="00AF652D">
        <w:rPr>
          <w:rFonts w:ascii="Arial" w:hAnsi="Arial" w:cs="Arial"/>
          <w:sz w:val="24"/>
          <w:szCs w:val="24"/>
        </w:rPr>
        <w:t>.</w:t>
      </w:r>
    </w:p>
    <w:p w:rsidR="002D56EB" w:rsidRPr="00AF652D" w:rsidRDefault="00D9075F"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An unlimited number of v</w:t>
      </w:r>
      <w:r w:rsidR="00CB642F" w:rsidRPr="00AF652D">
        <w:rPr>
          <w:rFonts w:ascii="Arial" w:hAnsi="Arial" w:cs="Arial"/>
          <w:sz w:val="24"/>
          <w:szCs w:val="24"/>
        </w:rPr>
        <w:t>ocational training programme</w:t>
      </w:r>
      <w:r w:rsidRPr="00AF652D">
        <w:rPr>
          <w:rFonts w:ascii="Arial" w:hAnsi="Arial" w:cs="Arial"/>
          <w:sz w:val="24"/>
          <w:szCs w:val="24"/>
        </w:rPr>
        <w:t>s</w:t>
      </w:r>
      <w:r w:rsidR="00CB642F" w:rsidRPr="00AF652D">
        <w:rPr>
          <w:rFonts w:ascii="Arial" w:hAnsi="Arial" w:cs="Arial"/>
          <w:sz w:val="24"/>
          <w:szCs w:val="24"/>
        </w:rPr>
        <w:t xml:space="preserve"> can be </w:t>
      </w:r>
      <w:r w:rsidR="00CB38EE" w:rsidRPr="00AF652D">
        <w:rPr>
          <w:rFonts w:ascii="Arial" w:hAnsi="Arial" w:cs="Arial"/>
          <w:sz w:val="24"/>
          <w:szCs w:val="24"/>
        </w:rPr>
        <w:t>attended</w:t>
      </w:r>
      <w:r w:rsidR="00003687" w:rsidRPr="00AF652D">
        <w:rPr>
          <w:rFonts w:ascii="Arial" w:hAnsi="Arial" w:cs="Arial"/>
          <w:sz w:val="24"/>
          <w:szCs w:val="24"/>
        </w:rPr>
        <w:t xml:space="preserve"> free of charge </w:t>
      </w:r>
      <w:r w:rsidR="00CB38EE" w:rsidRPr="00AF652D">
        <w:rPr>
          <w:rFonts w:ascii="Arial" w:hAnsi="Arial" w:cs="Arial"/>
          <w:sz w:val="24"/>
          <w:szCs w:val="24"/>
        </w:rPr>
        <w:t>by</w:t>
      </w:r>
      <w:r w:rsidR="00AE420E" w:rsidRPr="00AF652D">
        <w:rPr>
          <w:rFonts w:ascii="Arial" w:hAnsi="Arial" w:cs="Arial"/>
          <w:sz w:val="24"/>
          <w:szCs w:val="24"/>
        </w:rPr>
        <w:t xml:space="preserve"> </w:t>
      </w:r>
      <w:r w:rsidR="00BB1EC4" w:rsidRPr="00AF652D">
        <w:rPr>
          <w:rFonts w:ascii="Arial" w:hAnsi="Arial" w:cs="Arial"/>
          <w:sz w:val="24"/>
          <w:szCs w:val="24"/>
        </w:rPr>
        <w:t>students with SEN</w:t>
      </w:r>
      <w:r w:rsidR="00003687" w:rsidRPr="00AF652D">
        <w:rPr>
          <w:rFonts w:ascii="Arial" w:hAnsi="Arial" w:cs="Arial"/>
          <w:sz w:val="24"/>
          <w:szCs w:val="24"/>
        </w:rPr>
        <w:t>.</w:t>
      </w:r>
      <w:r w:rsidR="00B4605E" w:rsidRPr="00AF652D">
        <w:rPr>
          <w:rFonts w:ascii="Arial" w:hAnsi="Arial" w:cs="Arial"/>
          <w:sz w:val="24"/>
          <w:szCs w:val="24"/>
        </w:rPr>
        <w:t xml:space="preserve"> This benefit covers all stately funded or co-funded vocational </w:t>
      </w:r>
      <w:r w:rsidR="005B6425" w:rsidRPr="00AF652D">
        <w:rPr>
          <w:rFonts w:ascii="Arial" w:hAnsi="Arial" w:cs="Arial"/>
          <w:sz w:val="24"/>
          <w:szCs w:val="24"/>
        </w:rPr>
        <w:t>school</w:t>
      </w:r>
      <w:r w:rsidR="00B4605E" w:rsidRPr="00AF652D">
        <w:rPr>
          <w:rFonts w:ascii="Arial" w:hAnsi="Arial" w:cs="Arial"/>
          <w:sz w:val="24"/>
          <w:szCs w:val="24"/>
        </w:rPr>
        <w:t xml:space="preserve"> programmes governed by the VT Act.</w:t>
      </w:r>
      <w:r w:rsidR="00722F4B" w:rsidRPr="00AF652D">
        <w:rPr>
          <w:rStyle w:val="FootnoteReference"/>
          <w:rFonts w:ascii="Arial" w:hAnsi="Arial" w:cs="Arial"/>
          <w:sz w:val="24"/>
          <w:szCs w:val="24"/>
        </w:rPr>
        <w:footnoteReference w:id="13"/>
      </w:r>
    </w:p>
    <w:p w:rsidR="008E666D" w:rsidRPr="00AF652D" w:rsidRDefault="008E666D" w:rsidP="00AB2326">
      <w:pPr>
        <w:pStyle w:val="ListParagraph"/>
        <w:tabs>
          <w:tab w:val="left" w:pos="2694"/>
        </w:tabs>
        <w:spacing w:after="0" w:line="240" w:lineRule="auto"/>
        <w:ind w:left="567"/>
        <w:jc w:val="both"/>
        <w:rPr>
          <w:rFonts w:ascii="Arial" w:hAnsi="Arial" w:cs="Arial"/>
          <w:sz w:val="24"/>
          <w:szCs w:val="24"/>
        </w:rPr>
      </w:pPr>
    </w:p>
    <w:p w:rsidR="00D47E00" w:rsidRPr="00AF652D" w:rsidRDefault="00173671" w:rsidP="00AB2326">
      <w:pPr>
        <w:tabs>
          <w:tab w:val="left" w:pos="2694"/>
        </w:tabs>
        <w:spacing w:after="0" w:line="240" w:lineRule="auto"/>
        <w:rPr>
          <w:rFonts w:ascii="Arial" w:hAnsi="Arial" w:cs="Arial"/>
          <w:sz w:val="24"/>
          <w:szCs w:val="24"/>
        </w:rPr>
      </w:pPr>
      <w:r w:rsidRPr="00AF652D">
        <w:rPr>
          <w:rFonts w:ascii="Arial" w:hAnsi="Arial" w:cs="Arial"/>
          <w:sz w:val="24"/>
          <w:szCs w:val="24"/>
        </w:rPr>
        <w:t>A predominant body of the relevant legislation implementing this strategy took effect in the beginning of the</w:t>
      </w:r>
      <w:r w:rsidR="00AE420E" w:rsidRPr="00AF652D">
        <w:rPr>
          <w:rFonts w:ascii="Arial" w:hAnsi="Arial" w:cs="Arial"/>
          <w:sz w:val="24"/>
          <w:szCs w:val="24"/>
        </w:rPr>
        <w:t xml:space="preserve"> </w:t>
      </w:r>
      <w:r w:rsidRPr="00AF652D">
        <w:rPr>
          <w:rFonts w:ascii="Arial" w:hAnsi="Arial" w:cs="Arial"/>
          <w:sz w:val="24"/>
          <w:szCs w:val="24"/>
        </w:rPr>
        <w:t xml:space="preserve">school year 2016/2017. </w:t>
      </w:r>
      <w:proofErr w:type="gramStart"/>
      <w:r w:rsidRPr="00AF652D">
        <w:rPr>
          <w:rFonts w:ascii="Arial" w:hAnsi="Arial" w:cs="Arial"/>
          <w:sz w:val="24"/>
          <w:szCs w:val="24"/>
        </w:rPr>
        <w:t>So</w:t>
      </w:r>
      <w:proofErr w:type="gramEnd"/>
      <w:r w:rsidRPr="00AF652D">
        <w:rPr>
          <w:rFonts w:ascii="Arial" w:hAnsi="Arial" w:cs="Arial"/>
          <w:sz w:val="24"/>
          <w:szCs w:val="24"/>
        </w:rPr>
        <w:t xml:space="preserve"> the practical impacts of the reforms are not measurable yet.</w:t>
      </w:r>
    </w:p>
    <w:p w:rsidR="00173671" w:rsidRPr="00AF652D" w:rsidRDefault="00173671" w:rsidP="00AB2326">
      <w:pPr>
        <w:tabs>
          <w:tab w:val="left" w:pos="2694"/>
        </w:tabs>
        <w:spacing w:after="0" w:line="240" w:lineRule="auto"/>
        <w:rPr>
          <w:rFonts w:ascii="Arial" w:hAnsi="Arial" w:cs="Arial"/>
          <w:sz w:val="24"/>
          <w:szCs w:val="24"/>
        </w:rPr>
      </w:pPr>
    </w:p>
    <w:p w:rsidR="00397BAB" w:rsidRPr="00AF652D" w:rsidRDefault="00213A08"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The </w:t>
      </w:r>
      <w:r w:rsidR="00D34261" w:rsidRPr="00AF652D">
        <w:rPr>
          <w:rFonts w:ascii="Arial" w:hAnsi="Arial" w:cs="Arial"/>
          <w:sz w:val="24"/>
          <w:szCs w:val="24"/>
        </w:rPr>
        <w:t xml:space="preserve">scope of the </w:t>
      </w:r>
      <w:r w:rsidRPr="00AF652D">
        <w:rPr>
          <w:rFonts w:ascii="Arial" w:hAnsi="Arial" w:cs="Arial"/>
          <w:sz w:val="24"/>
          <w:szCs w:val="24"/>
        </w:rPr>
        <w:t xml:space="preserve">Act </w:t>
      </w:r>
      <w:r w:rsidR="00D34261" w:rsidRPr="00AF652D">
        <w:rPr>
          <w:rFonts w:ascii="Arial" w:hAnsi="Arial" w:cs="Arial"/>
          <w:sz w:val="24"/>
          <w:szCs w:val="24"/>
        </w:rPr>
        <w:t xml:space="preserve">CXXV of 2012 </w:t>
      </w:r>
      <w:r w:rsidRPr="00AF652D">
        <w:rPr>
          <w:rFonts w:ascii="Arial" w:hAnsi="Arial" w:cs="Arial"/>
          <w:sz w:val="24"/>
          <w:szCs w:val="24"/>
        </w:rPr>
        <w:t xml:space="preserve">on Equal Treatment </w:t>
      </w:r>
      <w:r w:rsidR="00D34261" w:rsidRPr="00AF652D">
        <w:rPr>
          <w:rFonts w:ascii="Arial" w:hAnsi="Arial" w:cs="Arial"/>
          <w:sz w:val="24"/>
          <w:szCs w:val="24"/>
        </w:rPr>
        <w:t>and the Enhancing of Equal Opportunities (hereinafter: ETA Act) covers all educational institutions and service providers providing vocational training programmes, irrespective</w:t>
      </w:r>
      <w:r w:rsidR="00E532B1" w:rsidRPr="00AF652D">
        <w:rPr>
          <w:rFonts w:ascii="Arial" w:hAnsi="Arial" w:cs="Arial"/>
          <w:sz w:val="24"/>
          <w:szCs w:val="24"/>
        </w:rPr>
        <w:t xml:space="preserve"> of the public or the private status of the operating entity. Disability and health condition count as protected characteristics </w:t>
      </w:r>
      <w:r w:rsidR="008217F5" w:rsidRPr="00AF652D">
        <w:rPr>
          <w:rFonts w:ascii="Arial" w:hAnsi="Arial" w:cs="Arial"/>
          <w:sz w:val="24"/>
          <w:szCs w:val="24"/>
        </w:rPr>
        <w:t xml:space="preserve">under the act. </w:t>
      </w:r>
      <w:proofErr w:type="gramStart"/>
      <w:r w:rsidR="008217F5" w:rsidRPr="00AF652D">
        <w:rPr>
          <w:rFonts w:ascii="Arial" w:hAnsi="Arial" w:cs="Arial"/>
          <w:sz w:val="24"/>
          <w:szCs w:val="24"/>
        </w:rPr>
        <w:t>So</w:t>
      </w:r>
      <w:proofErr w:type="gramEnd"/>
      <w:r w:rsidR="008217F5" w:rsidRPr="00AF652D">
        <w:rPr>
          <w:rFonts w:ascii="Arial" w:hAnsi="Arial" w:cs="Arial"/>
          <w:sz w:val="24"/>
          <w:szCs w:val="24"/>
        </w:rPr>
        <w:t xml:space="preserve"> </w:t>
      </w:r>
      <w:r w:rsidR="00360470" w:rsidRPr="00AF652D">
        <w:rPr>
          <w:rFonts w:ascii="Arial" w:hAnsi="Arial" w:cs="Arial"/>
          <w:sz w:val="24"/>
          <w:szCs w:val="24"/>
        </w:rPr>
        <w:t>children with SEN attending vocational training programmes</w:t>
      </w:r>
      <w:r w:rsidR="00304F41" w:rsidRPr="00AF652D">
        <w:rPr>
          <w:rFonts w:ascii="Arial" w:hAnsi="Arial" w:cs="Arial"/>
          <w:sz w:val="24"/>
          <w:szCs w:val="24"/>
        </w:rPr>
        <w:t xml:space="preserve"> </w:t>
      </w:r>
      <w:r w:rsidR="00CE64F1" w:rsidRPr="00AF652D">
        <w:rPr>
          <w:rFonts w:ascii="Arial" w:hAnsi="Arial" w:cs="Arial"/>
          <w:sz w:val="24"/>
          <w:szCs w:val="24"/>
        </w:rPr>
        <w:t xml:space="preserve">are </w:t>
      </w:r>
      <w:r w:rsidR="00360470" w:rsidRPr="00AF652D">
        <w:rPr>
          <w:rFonts w:ascii="Arial" w:hAnsi="Arial" w:cs="Arial"/>
          <w:sz w:val="24"/>
          <w:szCs w:val="24"/>
        </w:rPr>
        <w:t xml:space="preserve">protected against discrimination during the whole </w:t>
      </w:r>
      <w:r w:rsidR="00AA0956" w:rsidRPr="00AF652D">
        <w:rPr>
          <w:rFonts w:ascii="Arial" w:hAnsi="Arial" w:cs="Arial"/>
          <w:sz w:val="24"/>
          <w:szCs w:val="24"/>
        </w:rPr>
        <w:t xml:space="preserve">period of the education, beyond the compulsory school age as well. </w:t>
      </w:r>
      <w:r w:rsidR="00F551F0" w:rsidRPr="00AF652D">
        <w:rPr>
          <w:rFonts w:ascii="Arial" w:hAnsi="Arial" w:cs="Arial"/>
          <w:sz w:val="24"/>
          <w:szCs w:val="24"/>
        </w:rPr>
        <w:t>Specific adaptive measures</w:t>
      </w:r>
      <w:r w:rsidR="00AE420E" w:rsidRPr="00AF652D">
        <w:rPr>
          <w:rFonts w:ascii="Arial" w:hAnsi="Arial" w:cs="Arial"/>
          <w:sz w:val="24"/>
          <w:szCs w:val="24"/>
        </w:rPr>
        <w:t xml:space="preserve"> </w:t>
      </w:r>
      <w:r w:rsidR="00F551F0" w:rsidRPr="00AF652D">
        <w:rPr>
          <w:rFonts w:ascii="Arial" w:hAnsi="Arial" w:cs="Arial"/>
          <w:sz w:val="24"/>
          <w:szCs w:val="24"/>
        </w:rPr>
        <w:t xml:space="preserve">are </w:t>
      </w:r>
      <w:r w:rsidR="00D73BB0" w:rsidRPr="00AF652D">
        <w:rPr>
          <w:rFonts w:ascii="Arial" w:hAnsi="Arial" w:cs="Arial"/>
          <w:sz w:val="24"/>
          <w:szCs w:val="24"/>
        </w:rPr>
        <w:t xml:space="preserve">provided for students with SEN </w:t>
      </w:r>
      <w:proofErr w:type="gramStart"/>
      <w:r w:rsidR="00D73BB0" w:rsidRPr="00AF652D">
        <w:rPr>
          <w:rFonts w:ascii="Arial" w:hAnsi="Arial" w:cs="Arial"/>
          <w:sz w:val="24"/>
          <w:szCs w:val="24"/>
        </w:rPr>
        <w:t>in the course of</w:t>
      </w:r>
      <w:proofErr w:type="gramEnd"/>
      <w:r w:rsidR="00D73BB0" w:rsidRPr="00AF652D">
        <w:rPr>
          <w:rFonts w:ascii="Arial" w:hAnsi="Arial" w:cs="Arial"/>
          <w:sz w:val="24"/>
          <w:szCs w:val="24"/>
        </w:rPr>
        <w:t xml:space="preserve"> the education, training and examination (e.g. exemption from specific subjects, extra time for the exams, use of technical or personal assistance or during the exams etc.)</w:t>
      </w:r>
      <w:r w:rsidR="00F551F0" w:rsidRPr="00AF652D">
        <w:rPr>
          <w:rFonts w:ascii="Arial" w:hAnsi="Arial" w:cs="Arial"/>
          <w:sz w:val="24"/>
          <w:szCs w:val="24"/>
        </w:rPr>
        <w:t xml:space="preserve">, according to the opinion of </w:t>
      </w:r>
      <w:r w:rsidR="00F551F0" w:rsidRPr="00AF652D">
        <w:rPr>
          <w:rFonts w:ascii="Arial" w:hAnsi="Arial" w:cs="Arial"/>
          <w:sz w:val="24"/>
          <w:szCs w:val="24"/>
        </w:rPr>
        <w:lastRenderedPageBreak/>
        <w:t>the</w:t>
      </w:r>
      <w:r w:rsidR="00D73BB0" w:rsidRPr="00AF652D">
        <w:rPr>
          <w:rFonts w:ascii="Arial" w:hAnsi="Arial" w:cs="Arial"/>
          <w:sz w:val="24"/>
          <w:szCs w:val="24"/>
        </w:rPr>
        <w:t xml:space="preserve"> established by the expert committee.</w:t>
      </w:r>
      <w:r w:rsidR="00D73BB0" w:rsidRPr="00AF652D">
        <w:rPr>
          <w:rStyle w:val="FootnoteReference"/>
          <w:rFonts w:ascii="Arial" w:hAnsi="Arial" w:cs="Arial"/>
          <w:sz w:val="24"/>
          <w:szCs w:val="24"/>
        </w:rPr>
        <w:footnoteReference w:id="14"/>
      </w:r>
      <w:r w:rsidR="008E666D" w:rsidRPr="00AF652D">
        <w:rPr>
          <w:rFonts w:ascii="Arial" w:hAnsi="Arial" w:cs="Arial"/>
          <w:sz w:val="24"/>
          <w:szCs w:val="24"/>
        </w:rPr>
        <w:t xml:space="preserve"> </w:t>
      </w:r>
      <w:r w:rsidR="00024267" w:rsidRPr="00AF652D">
        <w:rPr>
          <w:rFonts w:ascii="Arial" w:hAnsi="Arial" w:cs="Arial"/>
          <w:sz w:val="24"/>
          <w:szCs w:val="24"/>
        </w:rPr>
        <w:t>However neither the ETA Act, nor the VT Act, nor the NPE Act enshrine</w:t>
      </w:r>
      <w:r w:rsidR="001127C0" w:rsidRPr="00AF652D">
        <w:rPr>
          <w:rFonts w:ascii="Arial" w:hAnsi="Arial" w:cs="Arial"/>
          <w:sz w:val="24"/>
          <w:szCs w:val="24"/>
        </w:rPr>
        <w:t>s</w:t>
      </w:r>
      <w:r w:rsidR="00024267" w:rsidRPr="00AF652D">
        <w:rPr>
          <w:rFonts w:ascii="Arial" w:hAnsi="Arial" w:cs="Arial"/>
          <w:sz w:val="24"/>
          <w:szCs w:val="24"/>
        </w:rPr>
        <w:t xml:space="preserve"> a general reasonable accommodation duty.</w:t>
      </w:r>
      <w:r w:rsidR="004A1249" w:rsidRPr="00AF652D">
        <w:rPr>
          <w:rStyle w:val="FootnoteReference"/>
          <w:rFonts w:ascii="Arial" w:hAnsi="Arial" w:cs="Arial"/>
          <w:sz w:val="24"/>
          <w:szCs w:val="24"/>
        </w:rPr>
        <w:footnoteReference w:id="15"/>
      </w:r>
    </w:p>
    <w:p w:rsidR="006D6875" w:rsidRPr="00AF652D" w:rsidRDefault="006D6875"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 xml:space="preserve">Relevance of the National Youth Guarantee Implementation Plan and assessment report (for EU Member States) </w:t>
      </w:r>
    </w:p>
    <w:p w:rsidR="00020C3C" w:rsidRPr="00AF652D" w:rsidRDefault="00020C3C" w:rsidP="00AB2326">
      <w:pPr>
        <w:tabs>
          <w:tab w:val="left" w:pos="2694"/>
        </w:tabs>
        <w:spacing w:after="0" w:line="240" w:lineRule="auto"/>
        <w:rPr>
          <w:rFonts w:ascii="Arial" w:hAnsi="Arial" w:cs="Arial"/>
          <w:sz w:val="24"/>
          <w:szCs w:val="24"/>
        </w:rPr>
      </w:pPr>
    </w:p>
    <w:p w:rsidR="003538CE" w:rsidRPr="00AF652D" w:rsidRDefault="003538CE" w:rsidP="00AB2326">
      <w:pPr>
        <w:pStyle w:val="ListParagraph"/>
        <w:tabs>
          <w:tab w:val="left" w:pos="2694"/>
        </w:tabs>
        <w:spacing w:after="0" w:line="240" w:lineRule="auto"/>
        <w:ind w:left="0"/>
        <w:rPr>
          <w:rFonts w:ascii="Arial" w:hAnsi="Arial" w:cs="Arial"/>
          <w:bCs/>
          <w:i/>
          <w:sz w:val="24"/>
          <w:szCs w:val="24"/>
        </w:rPr>
      </w:pPr>
      <w:r w:rsidRPr="00AF652D">
        <w:rPr>
          <w:rFonts w:ascii="Arial" w:hAnsi="Arial" w:cs="Arial"/>
          <w:bCs/>
          <w:i/>
          <w:sz w:val="24"/>
          <w:szCs w:val="24"/>
        </w:rPr>
        <w:t>Are the policy measures described above all covered by the reforms outlined in the national Youth Guarantee Implementation Plan, or the Commission assessment of it? (EU Member States only)</w:t>
      </w:r>
    </w:p>
    <w:p w:rsidR="003538CE" w:rsidRPr="00AF652D" w:rsidRDefault="003538CE" w:rsidP="00AB2326">
      <w:pPr>
        <w:pStyle w:val="ListParagraph"/>
        <w:numPr>
          <w:ilvl w:val="0"/>
          <w:numId w:val="3"/>
        </w:numPr>
        <w:tabs>
          <w:tab w:val="left" w:pos="2694"/>
        </w:tabs>
        <w:spacing w:after="0" w:line="240" w:lineRule="auto"/>
        <w:ind w:left="567" w:hanging="567"/>
        <w:rPr>
          <w:rFonts w:ascii="Arial" w:hAnsi="Arial" w:cs="Arial"/>
          <w:bCs/>
          <w:i/>
          <w:sz w:val="24"/>
          <w:szCs w:val="24"/>
        </w:rPr>
      </w:pPr>
      <w:r w:rsidRPr="00AF652D">
        <w:rPr>
          <w:rFonts w:ascii="Arial" w:hAnsi="Arial" w:cs="Arial"/>
          <w:bCs/>
          <w:i/>
          <w:sz w:val="24"/>
          <w:szCs w:val="24"/>
        </w:rPr>
        <w:t>Are the needs of young disabled persons addressed in those documents, what is missing?</w:t>
      </w:r>
    </w:p>
    <w:p w:rsidR="000A23EB" w:rsidRPr="00AF652D" w:rsidRDefault="000A23EB" w:rsidP="00AB2326">
      <w:pPr>
        <w:tabs>
          <w:tab w:val="left" w:pos="2694"/>
        </w:tabs>
        <w:spacing w:after="0" w:line="240" w:lineRule="auto"/>
        <w:rPr>
          <w:rFonts w:ascii="Arial" w:hAnsi="Arial" w:cs="Arial"/>
          <w:sz w:val="24"/>
          <w:szCs w:val="24"/>
        </w:rPr>
      </w:pPr>
    </w:p>
    <w:p w:rsidR="006E6FB9" w:rsidRPr="00AF652D" w:rsidRDefault="006E6FB9" w:rsidP="00AB2326">
      <w:pPr>
        <w:pStyle w:val="ListParagraph"/>
        <w:tabs>
          <w:tab w:val="left" w:pos="2694"/>
        </w:tabs>
        <w:spacing w:after="0" w:line="240" w:lineRule="auto"/>
        <w:ind w:left="0"/>
        <w:jc w:val="both"/>
        <w:rPr>
          <w:rFonts w:ascii="Arial" w:hAnsi="Arial" w:cs="Arial"/>
          <w:bCs/>
          <w:sz w:val="24"/>
          <w:szCs w:val="24"/>
        </w:rPr>
      </w:pPr>
      <w:r w:rsidRPr="00AF652D">
        <w:rPr>
          <w:rFonts w:ascii="Arial" w:hAnsi="Arial" w:cs="Arial"/>
          <w:bCs/>
          <w:sz w:val="24"/>
          <w:szCs w:val="24"/>
        </w:rPr>
        <w:t xml:space="preserve">Hungary presented a Youth Guarantee </w:t>
      </w:r>
      <w:r w:rsidR="00F07240" w:rsidRPr="00AF652D">
        <w:rPr>
          <w:rFonts w:ascii="Arial" w:hAnsi="Arial" w:cs="Arial"/>
          <w:bCs/>
          <w:sz w:val="24"/>
          <w:szCs w:val="24"/>
        </w:rPr>
        <w:t xml:space="preserve">(hereinafter: YG) </w:t>
      </w:r>
      <w:r w:rsidRPr="00AF652D">
        <w:rPr>
          <w:rFonts w:ascii="Arial" w:hAnsi="Arial" w:cs="Arial"/>
          <w:bCs/>
          <w:sz w:val="24"/>
          <w:szCs w:val="24"/>
        </w:rPr>
        <w:t>Implementation Plan on 6 December 2013,</w:t>
      </w:r>
      <w:r w:rsidR="00AE420E" w:rsidRPr="00AF652D">
        <w:rPr>
          <w:rFonts w:ascii="Arial" w:hAnsi="Arial" w:cs="Arial"/>
          <w:bCs/>
          <w:sz w:val="24"/>
          <w:szCs w:val="24"/>
        </w:rPr>
        <w:t xml:space="preserve"> </w:t>
      </w:r>
      <w:r w:rsidRPr="00AF652D">
        <w:rPr>
          <w:rFonts w:ascii="Arial" w:hAnsi="Arial" w:cs="Arial"/>
          <w:bCs/>
          <w:sz w:val="24"/>
          <w:szCs w:val="24"/>
        </w:rPr>
        <w:t xml:space="preserve">updated in April 2014. The YG is foreseen to be fully operational by 2018. Hungary is eligible for the Youth Employment Initiative: it has an allocation of 49.77million euros (in prices </w:t>
      </w:r>
      <w:r w:rsidR="00865324" w:rsidRPr="00AF652D">
        <w:rPr>
          <w:rFonts w:ascii="Arial" w:hAnsi="Arial" w:cs="Arial"/>
          <w:bCs/>
          <w:sz w:val="24"/>
          <w:szCs w:val="24"/>
        </w:rPr>
        <w:t>current in March 2016</w:t>
      </w:r>
      <w:r w:rsidRPr="00AF652D">
        <w:rPr>
          <w:rFonts w:ascii="Arial" w:hAnsi="Arial" w:cs="Arial"/>
          <w:bCs/>
          <w:sz w:val="24"/>
          <w:szCs w:val="24"/>
        </w:rPr>
        <w:t xml:space="preserve">) with the </w:t>
      </w:r>
      <w:proofErr w:type="spellStart"/>
      <w:r w:rsidRPr="00AF652D">
        <w:rPr>
          <w:rFonts w:ascii="Arial" w:hAnsi="Arial" w:cs="Arial"/>
          <w:bCs/>
          <w:sz w:val="24"/>
          <w:szCs w:val="24"/>
        </w:rPr>
        <w:t>Dél-Alföld</w:t>
      </w:r>
      <w:proofErr w:type="spellEnd"/>
      <w:r w:rsidRPr="00AF652D">
        <w:rPr>
          <w:rFonts w:ascii="Arial" w:hAnsi="Arial" w:cs="Arial"/>
          <w:bCs/>
          <w:sz w:val="24"/>
          <w:szCs w:val="24"/>
        </w:rPr>
        <w:t xml:space="preserve">, </w:t>
      </w:r>
      <w:proofErr w:type="spellStart"/>
      <w:r w:rsidRPr="00AF652D">
        <w:rPr>
          <w:rFonts w:ascii="Arial" w:hAnsi="Arial" w:cs="Arial"/>
          <w:bCs/>
          <w:sz w:val="24"/>
          <w:szCs w:val="24"/>
        </w:rPr>
        <w:t>Dél-Dunántúl</w:t>
      </w:r>
      <w:proofErr w:type="spellEnd"/>
      <w:r w:rsidRPr="00AF652D">
        <w:rPr>
          <w:rFonts w:ascii="Arial" w:hAnsi="Arial" w:cs="Arial"/>
          <w:bCs/>
          <w:sz w:val="24"/>
          <w:szCs w:val="24"/>
        </w:rPr>
        <w:t xml:space="preserve">, </w:t>
      </w:r>
      <w:proofErr w:type="spellStart"/>
      <w:r w:rsidRPr="00AF652D">
        <w:rPr>
          <w:rFonts w:ascii="Arial" w:hAnsi="Arial" w:cs="Arial"/>
          <w:bCs/>
          <w:sz w:val="24"/>
          <w:szCs w:val="24"/>
        </w:rPr>
        <w:t>Észak-Alföld</w:t>
      </w:r>
      <w:proofErr w:type="spellEnd"/>
      <w:r w:rsidRPr="00AF652D">
        <w:rPr>
          <w:rFonts w:ascii="Arial" w:hAnsi="Arial" w:cs="Arial"/>
          <w:bCs/>
          <w:sz w:val="24"/>
          <w:szCs w:val="24"/>
        </w:rPr>
        <w:t xml:space="preserve">, </w:t>
      </w:r>
      <w:proofErr w:type="spellStart"/>
      <w:r w:rsidRPr="00AF652D">
        <w:rPr>
          <w:rFonts w:ascii="Arial" w:hAnsi="Arial" w:cs="Arial"/>
          <w:bCs/>
          <w:sz w:val="24"/>
          <w:szCs w:val="24"/>
        </w:rPr>
        <w:t>Észak-Magyarország</w:t>
      </w:r>
      <w:proofErr w:type="spellEnd"/>
      <w:r w:rsidRPr="00AF652D">
        <w:rPr>
          <w:rFonts w:ascii="Arial" w:hAnsi="Arial" w:cs="Arial"/>
          <w:bCs/>
          <w:sz w:val="24"/>
          <w:szCs w:val="24"/>
        </w:rPr>
        <w:t xml:space="preserve"> regions being eligible.</w:t>
      </w:r>
      <w:r w:rsidR="00865324" w:rsidRPr="00AF652D">
        <w:rPr>
          <w:rFonts w:ascii="Arial" w:hAnsi="Arial" w:cs="Arial"/>
          <w:bCs/>
          <w:sz w:val="24"/>
          <w:szCs w:val="24"/>
          <w:vertAlign w:val="superscript"/>
        </w:rPr>
        <w:footnoteReference w:id="16"/>
      </w:r>
    </w:p>
    <w:p w:rsidR="006E6FB9" w:rsidRPr="00AF652D" w:rsidRDefault="006E6FB9" w:rsidP="00AB2326">
      <w:pPr>
        <w:pStyle w:val="ListParagraph"/>
        <w:tabs>
          <w:tab w:val="left" w:pos="2694"/>
        </w:tabs>
        <w:spacing w:after="0" w:line="240" w:lineRule="auto"/>
        <w:ind w:left="0"/>
        <w:rPr>
          <w:rFonts w:ascii="Arial" w:hAnsi="Arial" w:cs="Arial"/>
          <w:bCs/>
          <w:sz w:val="24"/>
          <w:szCs w:val="24"/>
        </w:rPr>
      </w:pPr>
    </w:p>
    <w:p w:rsidR="000A23EB" w:rsidRPr="00AF652D" w:rsidRDefault="000A23EB" w:rsidP="00AB2326">
      <w:pPr>
        <w:pStyle w:val="ListParagraph"/>
        <w:tabs>
          <w:tab w:val="left" w:pos="2694"/>
        </w:tabs>
        <w:spacing w:after="0" w:line="240" w:lineRule="auto"/>
        <w:ind w:left="0"/>
        <w:jc w:val="both"/>
        <w:rPr>
          <w:rFonts w:ascii="Arial" w:hAnsi="Arial" w:cs="Arial"/>
          <w:bCs/>
          <w:sz w:val="24"/>
          <w:szCs w:val="24"/>
        </w:rPr>
      </w:pPr>
      <w:r w:rsidRPr="00AF652D">
        <w:rPr>
          <w:rFonts w:ascii="Arial" w:hAnsi="Arial" w:cs="Arial"/>
          <w:bCs/>
          <w:sz w:val="24"/>
          <w:szCs w:val="24"/>
        </w:rPr>
        <w:t>The Youth Guarantee Action Plan of Hungary sets out all relevant national programmes foreseen in 2013.</w:t>
      </w:r>
      <w:r w:rsidRPr="00AF652D">
        <w:rPr>
          <w:rStyle w:val="FootnoteReference"/>
          <w:rFonts w:ascii="Arial" w:hAnsi="Arial" w:cs="Arial"/>
          <w:bCs/>
          <w:sz w:val="24"/>
          <w:szCs w:val="24"/>
        </w:rPr>
        <w:footnoteReference w:id="17"/>
      </w:r>
      <w:r w:rsidRPr="00AF652D">
        <w:rPr>
          <w:rFonts w:ascii="Arial" w:hAnsi="Arial" w:cs="Arial"/>
          <w:bCs/>
          <w:sz w:val="24"/>
          <w:szCs w:val="24"/>
        </w:rPr>
        <w:t xml:space="preserve"> Only one programme is especially relevant for young people with disabilities. The strategy on prevention early school leaving of the Government focuses, among other vulnerable groups of children, children with SEN.</w:t>
      </w:r>
      <w:r w:rsidRPr="00AF652D">
        <w:rPr>
          <w:rStyle w:val="FootnoteReference"/>
          <w:rFonts w:ascii="Arial" w:hAnsi="Arial" w:cs="Arial"/>
          <w:bCs/>
          <w:sz w:val="24"/>
          <w:szCs w:val="24"/>
        </w:rPr>
        <w:footnoteReference w:id="18"/>
      </w:r>
    </w:p>
    <w:p w:rsidR="008E666D" w:rsidRPr="00AF652D" w:rsidRDefault="008E666D" w:rsidP="00AB2326">
      <w:pPr>
        <w:pStyle w:val="ListParagraph"/>
        <w:tabs>
          <w:tab w:val="left" w:pos="2694"/>
        </w:tabs>
        <w:spacing w:after="0" w:line="240" w:lineRule="auto"/>
        <w:ind w:left="0"/>
        <w:jc w:val="both"/>
        <w:rPr>
          <w:rFonts w:ascii="Arial" w:hAnsi="Arial" w:cs="Arial"/>
          <w:bCs/>
          <w:sz w:val="24"/>
          <w:szCs w:val="24"/>
        </w:rPr>
      </w:pPr>
    </w:p>
    <w:p w:rsidR="000A23EB" w:rsidRPr="00AF652D" w:rsidRDefault="000A23EB" w:rsidP="00AB2326">
      <w:pPr>
        <w:pStyle w:val="ListParagraph"/>
        <w:tabs>
          <w:tab w:val="left" w:pos="2694"/>
        </w:tabs>
        <w:spacing w:after="0" w:line="240" w:lineRule="auto"/>
        <w:ind w:left="0"/>
        <w:jc w:val="both"/>
        <w:rPr>
          <w:rFonts w:ascii="Arial" w:hAnsi="Arial" w:cs="Arial"/>
          <w:bCs/>
          <w:sz w:val="24"/>
          <w:szCs w:val="24"/>
        </w:rPr>
      </w:pPr>
      <w:r w:rsidRPr="00AF652D">
        <w:rPr>
          <w:rFonts w:ascii="Arial" w:hAnsi="Arial" w:cs="Arial"/>
          <w:bCs/>
          <w:sz w:val="24"/>
          <w:szCs w:val="24"/>
        </w:rPr>
        <w:t>The Action plan also includes the implementation of public education Bridge-programmes, labour market activation programmes for young people, a “second chance” programme for early school leavers above the mandatory age of education, and apprenticeship programmes for young persons on completion vocational training qualification.</w:t>
      </w:r>
      <w:r w:rsidRPr="00AF652D">
        <w:rPr>
          <w:rStyle w:val="FootnoteReference"/>
          <w:rFonts w:ascii="Arial" w:hAnsi="Arial" w:cs="Arial"/>
          <w:bCs/>
          <w:sz w:val="24"/>
          <w:szCs w:val="24"/>
        </w:rPr>
        <w:footnoteReference w:id="19"/>
      </w:r>
      <w:r w:rsidRPr="00AF652D">
        <w:rPr>
          <w:rFonts w:ascii="Arial" w:hAnsi="Arial" w:cs="Arial"/>
          <w:bCs/>
          <w:sz w:val="24"/>
          <w:szCs w:val="24"/>
        </w:rPr>
        <w:t xml:space="preserve"> These programmes may be of relevance for students with SEN and young people with disabilities completed vocational training programmes</w:t>
      </w:r>
      <w:r w:rsidR="000C482D" w:rsidRPr="00AF652D">
        <w:rPr>
          <w:rFonts w:ascii="Arial" w:hAnsi="Arial" w:cs="Arial"/>
          <w:bCs/>
          <w:sz w:val="24"/>
          <w:szCs w:val="24"/>
        </w:rPr>
        <w:t xml:space="preserve"> (however, no figures are available on the</w:t>
      </w:r>
      <w:r w:rsidR="00791213" w:rsidRPr="00AF652D">
        <w:rPr>
          <w:rFonts w:ascii="Arial" w:hAnsi="Arial" w:cs="Arial"/>
          <w:bCs/>
          <w:sz w:val="24"/>
          <w:szCs w:val="24"/>
        </w:rPr>
        <w:t>ir</w:t>
      </w:r>
      <w:r w:rsidR="000C482D" w:rsidRPr="00AF652D">
        <w:rPr>
          <w:rFonts w:ascii="Arial" w:hAnsi="Arial" w:cs="Arial"/>
          <w:bCs/>
          <w:sz w:val="24"/>
          <w:szCs w:val="24"/>
        </w:rPr>
        <w:t xml:space="preserve"> actual participation)</w:t>
      </w:r>
      <w:r w:rsidRPr="00AF652D">
        <w:rPr>
          <w:rFonts w:ascii="Arial" w:hAnsi="Arial" w:cs="Arial"/>
          <w:bCs/>
          <w:sz w:val="24"/>
          <w:szCs w:val="24"/>
        </w:rPr>
        <w:t>.</w:t>
      </w:r>
    </w:p>
    <w:p w:rsidR="000A23EB" w:rsidRPr="00AF652D" w:rsidRDefault="000A23EB" w:rsidP="00AB2326">
      <w:pPr>
        <w:pStyle w:val="ListParagraph"/>
        <w:tabs>
          <w:tab w:val="left" w:pos="2694"/>
        </w:tabs>
        <w:spacing w:after="0" w:line="240" w:lineRule="auto"/>
        <w:ind w:left="0"/>
        <w:rPr>
          <w:rFonts w:ascii="Arial" w:hAnsi="Arial" w:cs="Arial"/>
          <w:bCs/>
          <w:sz w:val="24"/>
          <w:szCs w:val="24"/>
        </w:rPr>
      </w:pPr>
    </w:p>
    <w:p w:rsidR="00397BAB" w:rsidRPr="00AF652D" w:rsidRDefault="000A23EB" w:rsidP="00AB2326">
      <w:pPr>
        <w:tabs>
          <w:tab w:val="left" w:pos="2694"/>
        </w:tabs>
        <w:spacing w:after="0" w:line="240" w:lineRule="auto"/>
        <w:jc w:val="both"/>
        <w:rPr>
          <w:rFonts w:ascii="Arial" w:hAnsi="Arial" w:cs="Arial"/>
          <w:bCs/>
          <w:sz w:val="24"/>
          <w:szCs w:val="24"/>
        </w:rPr>
      </w:pPr>
      <w:r w:rsidRPr="00AF652D">
        <w:rPr>
          <w:rFonts w:ascii="Arial" w:hAnsi="Arial" w:cs="Arial"/>
          <w:bCs/>
          <w:sz w:val="24"/>
          <w:szCs w:val="24"/>
        </w:rPr>
        <w:t>Currently two operational programmes are of the highest importance in terms of implementation of YG in Hungary: VEKOP-8.2.1-15-2015-00001 (in the Central Hungarian region) and GINOP-5.1.1-15-2015-00001 (i</w:t>
      </w:r>
      <w:r w:rsidR="009826B3" w:rsidRPr="00AF652D">
        <w:rPr>
          <w:rFonts w:ascii="Arial" w:hAnsi="Arial" w:cs="Arial"/>
          <w:bCs/>
          <w:sz w:val="24"/>
          <w:szCs w:val="24"/>
        </w:rPr>
        <w:t xml:space="preserve">n other regions). </w:t>
      </w:r>
      <w:r w:rsidR="00311084" w:rsidRPr="00AF652D">
        <w:rPr>
          <w:rFonts w:ascii="Arial" w:hAnsi="Arial" w:cs="Arial"/>
          <w:bCs/>
          <w:sz w:val="24"/>
          <w:szCs w:val="24"/>
        </w:rPr>
        <w:t>Main objective of the operational programmes is to assist young people (age of 15 to 24) in NEET status</w:t>
      </w:r>
      <w:r w:rsidR="00AE420E" w:rsidRPr="00AF652D">
        <w:rPr>
          <w:rFonts w:ascii="Arial" w:hAnsi="Arial" w:cs="Arial"/>
          <w:bCs/>
          <w:sz w:val="24"/>
          <w:szCs w:val="24"/>
        </w:rPr>
        <w:t xml:space="preserve"> </w:t>
      </w:r>
      <w:r w:rsidR="00311084" w:rsidRPr="00AF652D">
        <w:rPr>
          <w:rFonts w:ascii="Arial" w:hAnsi="Arial" w:cs="Arial"/>
          <w:bCs/>
          <w:sz w:val="24"/>
          <w:szCs w:val="24"/>
        </w:rPr>
        <w:t>by means of personalised labour market services to access education or work within a reasonable time (this is currently 4 months).</w:t>
      </w:r>
      <w:r w:rsidR="00AE420E" w:rsidRPr="00AF652D">
        <w:rPr>
          <w:rFonts w:ascii="Arial" w:hAnsi="Arial" w:cs="Arial"/>
          <w:bCs/>
          <w:sz w:val="24"/>
          <w:szCs w:val="24"/>
        </w:rPr>
        <w:t xml:space="preserve"> </w:t>
      </w:r>
      <w:r w:rsidR="006C4887" w:rsidRPr="00AF652D">
        <w:rPr>
          <w:rFonts w:ascii="Arial" w:hAnsi="Arial" w:cs="Arial"/>
          <w:bCs/>
          <w:sz w:val="24"/>
          <w:szCs w:val="24"/>
        </w:rPr>
        <w:t>However, these programmes do not focus on young people with disabilities.</w:t>
      </w:r>
      <w:r w:rsidR="006C4887" w:rsidRPr="00AF652D">
        <w:rPr>
          <w:rStyle w:val="FootnoteReference"/>
          <w:rFonts w:ascii="Arial" w:hAnsi="Arial" w:cs="Arial"/>
          <w:bCs/>
          <w:sz w:val="24"/>
          <w:szCs w:val="24"/>
        </w:rPr>
        <w:footnoteReference w:id="20"/>
      </w:r>
    </w:p>
    <w:p w:rsidR="000A23EB" w:rsidRPr="00AF652D" w:rsidRDefault="000A23EB" w:rsidP="00AB2326">
      <w:pPr>
        <w:tabs>
          <w:tab w:val="left" w:pos="2694"/>
        </w:tabs>
        <w:spacing w:after="0" w:line="240" w:lineRule="auto"/>
        <w:jc w:val="both"/>
        <w:rPr>
          <w:rFonts w:ascii="Arial" w:hAnsi="Arial" w:cs="Arial"/>
          <w:bCs/>
          <w:sz w:val="24"/>
          <w:szCs w:val="24"/>
        </w:rPr>
      </w:pPr>
      <w:r w:rsidRPr="00AF652D">
        <w:rPr>
          <w:rFonts w:ascii="Arial" w:hAnsi="Arial" w:cs="Arial"/>
          <w:sz w:val="24"/>
          <w:szCs w:val="24"/>
        </w:rPr>
        <w:lastRenderedPageBreak/>
        <w:t xml:space="preserve">A central website of the Hungarian YG is maintained by the Government </w:t>
      </w:r>
      <w:proofErr w:type="gramStart"/>
      <w:r w:rsidRPr="00AF652D">
        <w:rPr>
          <w:rFonts w:ascii="Arial" w:hAnsi="Arial" w:cs="Arial"/>
          <w:sz w:val="24"/>
          <w:szCs w:val="24"/>
        </w:rPr>
        <w:t>in order to</w:t>
      </w:r>
      <w:proofErr w:type="gramEnd"/>
      <w:r w:rsidRPr="00AF652D">
        <w:rPr>
          <w:rFonts w:ascii="Arial" w:hAnsi="Arial" w:cs="Arial"/>
          <w:sz w:val="24"/>
          <w:szCs w:val="24"/>
        </w:rPr>
        <w:t xml:space="preserve"> display the recent news and opportunities offered by the programme.</w:t>
      </w:r>
      <w:r w:rsidR="00765072" w:rsidRPr="00AF652D">
        <w:rPr>
          <w:rStyle w:val="FootnoteReference"/>
          <w:rFonts w:ascii="Arial" w:hAnsi="Arial" w:cs="Arial"/>
          <w:sz w:val="24"/>
          <w:szCs w:val="24"/>
        </w:rPr>
        <w:footnoteReference w:id="21"/>
      </w:r>
      <w:r w:rsidRPr="00AF652D">
        <w:rPr>
          <w:rFonts w:ascii="Arial" w:hAnsi="Arial" w:cs="Arial"/>
          <w:sz w:val="24"/>
          <w:szCs w:val="24"/>
        </w:rPr>
        <w:t xml:space="preserve"> The website has no accessible version.</w:t>
      </w:r>
    </w:p>
    <w:p w:rsidR="00C8258D" w:rsidRPr="00AF652D" w:rsidRDefault="00C8258D" w:rsidP="00AB2326">
      <w:pPr>
        <w:pStyle w:val="ListParagraph"/>
        <w:tabs>
          <w:tab w:val="left" w:pos="2694"/>
        </w:tabs>
        <w:spacing w:after="0" w:line="240" w:lineRule="auto"/>
        <w:ind w:left="0"/>
        <w:rPr>
          <w:rFonts w:ascii="Arial" w:hAnsi="Arial" w:cs="Arial"/>
          <w:bCs/>
          <w:sz w:val="24"/>
          <w:szCs w:val="24"/>
        </w:rPr>
      </w:pPr>
    </w:p>
    <w:p w:rsidR="00F736E7" w:rsidRPr="00AF652D" w:rsidRDefault="00F736E7" w:rsidP="00AB2326">
      <w:pPr>
        <w:pStyle w:val="ListParagraph"/>
        <w:tabs>
          <w:tab w:val="left" w:pos="2694"/>
        </w:tabs>
        <w:spacing w:after="0" w:line="240" w:lineRule="auto"/>
        <w:ind w:left="0"/>
        <w:rPr>
          <w:rFonts w:ascii="Arial" w:hAnsi="Arial" w:cs="Arial"/>
          <w:bCs/>
          <w:sz w:val="24"/>
          <w:szCs w:val="24"/>
        </w:rPr>
      </w:pPr>
      <w:r w:rsidRPr="00AF652D">
        <w:rPr>
          <w:rFonts w:ascii="Arial" w:hAnsi="Arial" w:cs="Arial"/>
          <w:bCs/>
          <w:sz w:val="24"/>
          <w:szCs w:val="24"/>
        </w:rPr>
        <w:t xml:space="preserve">The Commission </w:t>
      </w:r>
      <w:r w:rsidR="00934B41" w:rsidRPr="00AF652D">
        <w:rPr>
          <w:rFonts w:ascii="Arial" w:hAnsi="Arial" w:cs="Arial"/>
          <w:bCs/>
          <w:sz w:val="24"/>
          <w:szCs w:val="24"/>
        </w:rPr>
        <w:t xml:space="preserve">assessed the implementation of the YG in </w:t>
      </w:r>
      <w:r w:rsidR="00EA5E54" w:rsidRPr="00AF652D">
        <w:rPr>
          <w:rFonts w:ascii="Arial" w:hAnsi="Arial" w:cs="Arial"/>
          <w:bCs/>
          <w:sz w:val="24"/>
          <w:szCs w:val="24"/>
        </w:rPr>
        <w:t>its</w:t>
      </w:r>
      <w:r w:rsidR="00934B41" w:rsidRPr="00AF652D">
        <w:rPr>
          <w:rFonts w:ascii="Arial" w:hAnsi="Arial" w:cs="Arial"/>
          <w:bCs/>
          <w:sz w:val="24"/>
          <w:szCs w:val="24"/>
        </w:rPr>
        <w:t xml:space="preserve"> Country Report 2016 as follows:</w:t>
      </w:r>
    </w:p>
    <w:p w:rsidR="00934B41" w:rsidRPr="00AF652D" w:rsidRDefault="00934B41" w:rsidP="00AB2326">
      <w:pPr>
        <w:pStyle w:val="ListParagraph"/>
        <w:tabs>
          <w:tab w:val="left" w:pos="2694"/>
        </w:tabs>
        <w:spacing w:after="0" w:line="240" w:lineRule="auto"/>
        <w:ind w:left="0"/>
        <w:rPr>
          <w:rFonts w:ascii="Arial" w:hAnsi="Arial" w:cs="Arial"/>
          <w:bCs/>
          <w:sz w:val="24"/>
          <w:szCs w:val="24"/>
        </w:rPr>
      </w:pPr>
    </w:p>
    <w:p w:rsidR="00934B41" w:rsidRPr="00AF652D" w:rsidRDefault="00934B41" w:rsidP="00AB2326">
      <w:pPr>
        <w:pStyle w:val="ListParagraph"/>
        <w:tabs>
          <w:tab w:val="left" w:pos="2694"/>
        </w:tabs>
        <w:spacing w:after="0" w:line="240" w:lineRule="auto"/>
        <w:ind w:left="0"/>
        <w:jc w:val="both"/>
        <w:rPr>
          <w:rFonts w:ascii="Arial" w:hAnsi="Arial" w:cs="Arial"/>
          <w:bCs/>
          <w:sz w:val="24"/>
          <w:szCs w:val="24"/>
        </w:rPr>
      </w:pPr>
      <w:r w:rsidRPr="00AF652D">
        <w:rPr>
          <w:rFonts w:ascii="Arial" w:hAnsi="Arial" w:cs="Arial"/>
          <w:bCs/>
          <w:sz w:val="24"/>
          <w:szCs w:val="24"/>
        </w:rPr>
        <w:t>"Youth unemployment has decreased but the rate of youth not in education,</w:t>
      </w:r>
      <w:r w:rsidR="00AE420E" w:rsidRPr="00AF652D">
        <w:rPr>
          <w:rFonts w:ascii="Arial" w:hAnsi="Arial" w:cs="Arial"/>
          <w:bCs/>
          <w:sz w:val="24"/>
          <w:szCs w:val="24"/>
        </w:rPr>
        <w:t xml:space="preserve"> </w:t>
      </w:r>
      <w:r w:rsidRPr="00AF652D">
        <w:rPr>
          <w:rFonts w:ascii="Arial" w:hAnsi="Arial" w:cs="Arial"/>
          <w:bCs/>
          <w:sz w:val="24"/>
          <w:szCs w:val="24"/>
        </w:rPr>
        <w:t>employment or training (NEET) remains high. (…) the youth unemployment rate</w:t>
      </w:r>
      <w:r w:rsidR="00AE420E" w:rsidRPr="00AF652D">
        <w:rPr>
          <w:rFonts w:ascii="Arial" w:hAnsi="Arial" w:cs="Arial"/>
          <w:bCs/>
          <w:sz w:val="24"/>
          <w:szCs w:val="24"/>
        </w:rPr>
        <w:t xml:space="preserve"> </w:t>
      </w:r>
      <w:r w:rsidRPr="00AF652D">
        <w:rPr>
          <w:rFonts w:ascii="Arial" w:hAnsi="Arial" w:cs="Arial"/>
          <w:bCs/>
          <w:sz w:val="24"/>
          <w:szCs w:val="24"/>
        </w:rPr>
        <w:t>has improved at a fast pace, approximating pre-crisis levels, and falling below the EU</w:t>
      </w:r>
      <w:r w:rsidR="00AE420E" w:rsidRPr="00AF652D">
        <w:rPr>
          <w:rFonts w:ascii="Arial" w:hAnsi="Arial" w:cs="Arial"/>
          <w:bCs/>
          <w:sz w:val="24"/>
          <w:szCs w:val="24"/>
        </w:rPr>
        <w:t xml:space="preserve"> </w:t>
      </w:r>
      <w:r w:rsidRPr="00AF652D">
        <w:rPr>
          <w:rFonts w:ascii="Arial" w:hAnsi="Arial" w:cs="Arial"/>
          <w:bCs/>
          <w:sz w:val="24"/>
          <w:szCs w:val="24"/>
        </w:rPr>
        <w:t>average for the first time in 2014 (20.4 % vs. EU average 22.2 %), reaching 16.7% in2015. The NEET rate has decreased to 13.6 % in 2014, but it remains somewhat</w:t>
      </w:r>
      <w:r w:rsidR="00AE420E" w:rsidRPr="00AF652D">
        <w:rPr>
          <w:rFonts w:ascii="Arial" w:hAnsi="Arial" w:cs="Arial"/>
          <w:bCs/>
          <w:sz w:val="24"/>
          <w:szCs w:val="24"/>
        </w:rPr>
        <w:t xml:space="preserve"> </w:t>
      </w:r>
      <w:r w:rsidRPr="00AF652D">
        <w:rPr>
          <w:rFonts w:ascii="Arial" w:hAnsi="Arial" w:cs="Arial"/>
          <w:bCs/>
          <w:sz w:val="24"/>
          <w:szCs w:val="24"/>
        </w:rPr>
        <w:t>above pre-crisis level and the EU average (12.5 %). It stands at 12.1 % for men and15.3 % for women. The majority of Hungary's total NEET population consists of</w:t>
      </w:r>
      <w:r w:rsidR="00AE420E" w:rsidRPr="00AF652D">
        <w:rPr>
          <w:rFonts w:ascii="Arial" w:hAnsi="Arial" w:cs="Arial"/>
          <w:bCs/>
          <w:sz w:val="24"/>
          <w:szCs w:val="24"/>
        </w:rPr>
        <w:t xml:space="preserve"> </w:t>
      </w:r>
      <w:r w:rsidRPr="00AF652D">
        <w:rPr>
          <w:rFonts w:ascii="Arial" w:hAnsi="Arial" w:cs="Arial"/>
          <w:bCs/>
          <w:sz w:val="24"/>
          <w:szCs w:val="24"/>
        </w:rPr>
        <w:t xml:space="preserve">inactive NEETs, including a large share of young people with family responsibility </w:t>
      </w:r>
      <w:r w:rsidR="001637F0" w:rsidRPr="00AF652D">
        <w:rPr>
          <w:rFonts w:ascii="Arial" w:hAnsi="Arial" w:cs="Arial"/>
          <w:bCs/>
          <w:sz w:val="24"/>
          <w:szCs w:val="24"/>
        </w:rPr>
        <w:t>a</w:t>
      </w:r>
      <w:r w:rsidRPr="00AF652D">
        <w:rPr>
          <w:rFonts w:ascii="Arial" w:hAnsi="Arial" w:cs="Arial"/>
          <w:bCs/>
          <w:sz w:val="24"/>
          <w:szCs w:val="24"/>
        </w:rPr>
        <w:t>nd</w:t>
      </w:r>
      <w:r w:rsidR="00AE420E" w:rsidRPr="00AF652D">
        <w:rPr>
          <w:rFonts w:ascii="Arial" w:hAnsi="Arial" w:cs="Arial"/>
          <w:bCs/>
          <w:sz w:val="24"/>
          <w:szCs w:val="24"/>
        </w:rPr>
        <w:t xml:space="preserve"> </w:t>
      </w:r>
      <w:r w:rsidRPr="00AF652D">
        <w:rPr>
          <w:rFonts w:ascii="Arial" w:hAnsi="Arial" w:cs="Arial"/>
          <w:bCs/>
          <w:sz w:val="24"/>
          <w:szCs w:val="24"/>
        </w:rPr>
        <w:t xml:space="preserve">discouraged workers, mostly women. </w:t>
      </w:r>
      <w:r w:rsidR="001C020B" w:rsidRPr="00AF652D">
        <w:rPr>
          <w:rFonts w:ascii="Arial" w:hAnsi="Arial" w:cs="Arial"/>
          <w:bCs/>
          <w:sz w:val="24"/>
          <w:szCs w:val="24"/>
        </w:rPr>
        <w:t>[...]</w:t>
      </w:r>
      <w:r w:rsidRPr="00AF652D">
        <w:rPr>
          <w:rFonts w:ascii="Arial" w:hAnsi="Arial" w:cs="Arial"/>
          <w:bCs/>
          <w:sz w:val="24"/>
          <w:szCs w:val="24"/>
        </w:rPr>
        <w:t xml:space="preserve"> The</w:t>
      </w:r>
      <w:r w:rsidR="00AE420E" w:rsidRPr="00AF652D">
        <w:rPr>
          <w:rFonts w:ascii="Arial" w:hAnsi="Arial" w:cs="Arial"/>
          <w:bCs/>
          <w:sz w:val="24"/>
          <w:szCs w:val="24"/>
        </w:rPr>
        <w:t xml:space="preserve"> </w:t>
      </w:r>
      <w:r w:rsidRPr="00AF652D">
        <w:rPr>
          <w:rFonts w:ascii="Arial" w:hAnsi="Arial" w:cs="Arial"/>
          <w:bCs/>
          <w:sz w:val="24"/>
          <w:szCs w:val="24"/>
        </w:rPr>
        <w:t>above-average share of disengaged young people indicates the continued difficulty of</w:t>
      </w:r>
      <w:r w:rsidR="00AE420E" w:rsidRPr="00AF652D">
        <w:rPr>
          <w:rFonts w:ascii="Arial" w:hAnsi="Arial" w:cs="Arial"/>
          <w:bCs/>
          <w:sz w:val="24"/>
          <w:szCs w:val="24"/>
        </w:rPr>
        <w:t xml:space="preserve"> </w:t>
      </w:r>
      <w:r w:rsidRPr="00AF652D">
        <w:rPr>
          <w:rFonts w:ascii="Arial" w:hAnsi="Arial" w:cs="Arial"/>
          <w:bCs/>
          <w:sz w:val="24"/>
          <w:szCs w:val="24"/>
        </w:rPr>
        <w:t>policy measures to effectively reach a sizeable part of their target population."</w:t>
      </w:r>
      <w:r w:rsidR="00E32334" w:rsidRPr="00AF652D">
        <w:rPr>
          <w:rStyle w:val="FootnoteReference"/>
          <w:rFonts w:ascii="Arial" w:hAnsi="Arial" w:cs="Arial"/>
          <w:bCs/>
          <w:sz w:val="24"/>
          <w:szCs w:val="24"/>
        </w:rPr>
        <w:footnoteReference w:id="22"/>
      </w:r>
    </w:p>
    <w:p w:rsidR="001C020B" w:rsidRPr="00AF652D" w:rsidRDefault="001C020B" w:rsidP="00AB2326">
      <w:pPr>
        <w:pStyle w:val="ListParagraph"/>
        <w:tabs>
          <w:tab w:val="left" w:pos="2694"/>
        </w:tabs>
        <w:spacing w:after="0" w:line="240" w:lineRule="auto"/>
        <w:ind w:left="0"/>
        <w:jc w:val="both"/>
        <w:rPr>
          <w:rFonts w:ascii="Arial" w:hAnsi="Arial" w:cs="Arial"/>
          <w:bCs/>
          <w:sz w:val="24"/>
          <w:szCs w:val="24"/>
        </w:rPr>
      </w:pPr>
    </w:p>
    <w:p w:rsidR="00FB64B1" w:rsidRPr="00AF652D" w:rsidRDefault="00BF2097" w:rsidP="00AB2326">
      <w:pPr>
        <w:pStyle w:val="ListParagraph"/>
        <w:tabs>
          <w:tab w:val="left" w:pos="2694"/>
        </w:tabs>
        <w:spacing w:after="0" w:line="240" w:lineRule="auto"/>
        <w:ind w:left="0"/>
        <w:jc w:val="both"/>
        <w:rPr>
          <w:rFonts w:ascii="Arial" w:hAnsi="Arial" w:cs="Arial"/>
          <w:bCs/>
          <w:sz w:val="24"/>
          <w:szCs w:val="24"/>
        </w:rPr>
      </w:pPr>
      <w:r w:rsidRPr="00AF652D">
        <w:rPr>
          <w:rFonts w:ascii="Arial" w:hAnsi="Arial" w:cs="Arial"/>
          <w:bCs/>
          <w:sz w:val="24"/>
          <w:szCs w:val="24"/>
        </w:rPr>
        <w:t>Neither t</w:t>
      </w:r>
      <w:r w:rsidR="00FB64B1" w:rsidRPr="00AF652D">
        <w:rPr>
          <w:rFonts w:ascii="Arial" w:hAnsi="Arial" w:cs="Arial"/>
          <w:bCs/>
          <w:sz w:val="24"/>
          <w:szCs w:val="24"/>
        </w:rPr>
        <w:t>he cited documents</w:t>
      </w:r>
      <w:r w:rsidR="006F3554" w:rsidRPr="00AF652D">
        <w:rPr>
          <w:rFonts w:ascii="Arial" w:hAnsi="Arial" w:cs="Arial"/>
          <w:bCs/>
          <w:sz w:val="24"/>
          <w:szCs w:val="24"/>
        </w:rPr>
        <w:t xml:space="preserve"> of the </w:t>
      </w:r>
      <w:r w:rsidR="00B5112D" w:rsidRPr="00AF652D">
        <w:rPr>
          <w:rFonts w:ascii="Arial" w:hAnsi="Arial" w:cs="Arial"/>
          <w:bCs/>
          <w:sz w:val="24"/>
          <w:szCs w:val="24"/>
        </w:rPr>
        <w:t xml:space="preserve">Employment Committee (hereinafter: </w:t>
      </w:r>
      <w:r w:rsidR="006F3554" w:rsidRPr="00AF652D">
        <w:rPr>
          <w:rFonts w:ascii="Arial" w:hAnsi="Arial" w:cs="Arial"/>
          <w:bCs/>
          <w:sz w:val="24"/>
          <w:szCs w:val="24"/>
        </w:rPr>
        <w:t>EMCO</w:t>
      </w:r>
      <w:r w:rsidR="00B5112D" w:rsidRPr="00AF652D">
        <w:rPr>
          <w:rFonts w:ascii="Arial" w:hAnsi="Arial" w:cs="Arial"/>
          <w:bCs/>
          <w:sz w:val="24"/>
          <w:szCs w:val="24"/>
        </w:rPr>
        <w:t>)</w:t>
      </w:r>
      <w:r w:rsidR="006F3554" w:rsidRPr="00AF652D">
        <w:rPr>
          <w:rFonts w:ascii="Arial" w:hAnsi="Arial" w:cs="Arial"/>
          <w:bCs/>
          <w:sz w:val="24"/>
          <w:szCs w:val="24"/>
        </w:rPr>
        <w:t xml:space="preserve"> and the Commission</w:t>
      </w:r>
      <w:r w:rsidRPr="00AF652D">
        <w:rPr>
          <w:rFonts w:ascii="Arial" w:hAnsi="Arial" w:cs="Arial"/>
          <w:bCs/>
          <w:sz w:val="24"/>
          <w:szCs w:val="24"/>
        </w:rPr>
        <w:t xml:space="preserve">, nor the </w:t>
      </w:r>
      <w:r w:rsidR="001164F3" w:rsidRPr="00AF652D">
        <w:rPr>
          <w:rFonts w:ascii="Arial" w:hAnsi="Arial" w:cs="Arial"/>
          <w:bCs/>
          <w:sz w:val="24"/>
          <w:szCs w:val="24"/>
        </w:rPr>
        <w:t xml:space="preserve">Commission’s recommendation for </w:t>
      </w:r>
      <w:r w:rsidR="0023145F" w:rsidRPr="00AF652D">
        <w:rPr>
          <w:rFonts w:ascii="Arial" w:hAnsi="Arial" w:cs="Arial"/>
          <w:bCs/>
          <w:sz w:val="24"/>
          <w:szCs w:val="24"/>
        </w:rPr>
        <w:t>Council Recommend</w:t>
      </w:r>
      <w:r w:rsidR="00A163A3" w:rsidRPr="00AF652D">
        <w:rPr>
          <w:rFonts w:ascii="Arial" w:hAnsi="Arial" w:cs="Arial"/>
          <w:bCs/>
          <w:sz w:val="24"/>
          <w:szCs w:val="24"/>
        </w:rPr>
        <w:t>a</w:t>
      </w:r>
      <w:r w:rsidR="0023145F" w:rsidRPr="00AF652D">
        <w:rPr>
          <w:rFonts w:ascii="Arial" w:hAnsi="Arial" w:cs="Arial"/>
          <w:bCs/>
          <w:sz w:val="24"/>
          <w:szCs w:val="24"/>
        </w:rPr>
        <w:t>t</w:t>
      </w:r>
      <w:r w:rsidR="00A163A3" w:rsidRPr="00AF652D">
        <w:rPr>
          <w:rFonts w:ascii="Arial" w:hAnsi="Arial" w:cs="Arial"/>
          <w:bCs/>
          <w:sz w:val="24"/>
          <w:szCs w:val="24"/>
        </w:rPr>
        <w:t>ion on the 2016 national</w:t>
      </w:r>
      <w:r w:rsidR="006F3554" w:rsidRPr="00AF652D">
        <w:rPr>
          <w:rFonts w:ascii="Arial" w:hAnsi="Arial" w:cs="Arial"/>
          <w:bCs/>
          <w:sz w:val="24"/>
          <w:szCs w:val="24"/>
        </w:rPr>
        <w:t xml:space="preserve"> reform programme of Hungary</w:t>
      </w:r>
      <w:r w:rsidR="006F3554" w:rsidRPr="00AF652D">
        <w:rPr>
          <w:rStyle w:val="FootnoteReference"/>
          <w:rFonts w:ascii="Arial" w:hAnsi="Arial" w:cs="Arial"/>
          <w:bCs/>
          <w:sz w:val="24"/>
          <w:szCs w:val="24"/>
        </w:rPr>
        <w:footnoteReference w:id="23"/>
      </w:r>
      <w:r w:rsidR="00FB64B1" w:rsidRPr="00AF652D">
        <w:rPr>
          <w:rFonts w:ascii="Arial" w:hAnsi="Arial" w:cs="Arial"/>
          <w:bCs/>
          <w:sz w:val="24"/>
          <w:szCs w:val="24"/>
        </w:rPr>
        <w:t xml:space="preserve"> refer specifically to the situation of young persons with dis</w:t>
      </w:r>
      <w:r w:rsidRPr="00AF652D">
        <w:rPr>
          <w:rFonts w:ascii="Arial" w:hAnsi="Arial" w:cs="Arial"/>
          <w:bCs/>
          <w:sz w:val="24"/>
          <w:szCs w:val="24"/>
        </w:rPr>
        <w:t xml:space="preserve">abilities in the labour market. </w:t>
      </w:r>
      <w:r w:rsidR="009630E0" w:rsidRPr="00AF652D">
        <w:rPr>
          <w:rFonts w:ascii="Arial" w:hAnsi="Arial" w:cs="Arial"/>
          <w:bCs/>
          <w:sz w:val="24"/>
          <w:szCs w:val="24"/>
        </w:rPr>
        <w:t xml:space="preserve">Among the disadvantaged groups the documents focus primarily on Roma people. </w:t>
      </w:r>
    </w:p>
    <w:p w:rsidR="00574A73" w:rsidRPr="00AF652D" w:rsidRDefault="00574A73"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Availability and effectiveness of apprenticeship schemes</w:t>
      </w:r>
    </w:p>
    <w:p w:rsidR="00020C3C" w:rsidRPr="00AF652D" w:rsidRDefault="00020C3C" w:rsidP="00AB2326">
      <w:pPr>
        <w:tabs>
          <w:tab w:val="left" w:pos="2694"/>
        </w:tabs>
        <w:spacing w:after="0" w:line="240" w:lineRule="auto"/>
        <w:rPr>
          <w:rFonts w:ascii="Arial" w:hAnsi="Arial" w:cs="Arial"/>
          <w:sz w:val="24"/>
          <w:szCs w:val="24"/>
        </w:rPr>
      </w:pPr>
    </w:p>
    <w:p w:rsidR="003538CE" w:rsidRPr="00AF652D" w:rsidRDefault="003538CE" w:rsidP="00AB2326">
      <w:pPr>
        <w:tabs>
          <w:tab w:val="left" w:pos="2694"/>
        </w:tabs>
        <w:spacing w:after="0" w:line="240" w:lineRule="auto"/>
        <w:rPr>
          <w:rFonts w:ascii="Arial" w:hAnsi="Arial" w:cs="Arial"/>
          <w:i/>
          <w:sz w:val="24"/>
          <w:szCs w:val="24"/>
        </w:rPr>
      </w:pPr>
      <w:r w:rsidRPr="00AF652D">
        <w:rPr>
          <w:rFonts w:ascii="Arial" w:hAnsi="Arial" w:cs="Arial"/>
          <w:i/>
          <w:sz w:val="24"/>
          <w:szCs w:val="24"/>
        </w:rPr>
        <w:t>Specifically, and in more detail, what is the current availability of apprenticeship schemes in your country and how beneficial are they for young disabled people? For example:</w:t>
      </w:r>
    </w:p>
    <w:p w:rsidR="003538CE" w:rsidRPr="00AF652D" w:rsidRDefault="003538CE" w:rsidP="00AB2326">
      <w:pPr>
        <w:pStyle w:val="ListParagraph"/>
        <w:numPr>
          <w:ilvl w:val="0"/>
          <w:numId w:val="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What training schemes are available, how are they funded, and who is eligible for them?</w:t>
      </w:r>
    </w:p>
    <w:p w:rsidR="003538CE" w:rsidRPr="00AF652D" w:rsidRDefault="003538CE" w:rsidP="00AB2326">
      <w:pPr>
        <w:pStyle w:val="ListParagraph"/>
        <w:numPr>
          <w:ilvl w:val="0"/>
          <w:numId w:val="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Are young disability people a target group for recruitment and what provisions exist to ensure that apprentices get reasonable adjustment, accessibility and appropriate support during their training?</w:t>
      </w:r>
    </w:p>
    <w:p w:rsidR="003538CE" w:rsidRPr="00AF652D" w:rsidRDefault="003538CE" w:rsidP="00AB2326">
      <w:pPr>
        <w:pStyle w:val="ListParagraph"/>
        <w:numPr>
          <w:ilvl w:val="0"/>
          <w:numId w:val="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What evidence is there of take-up, or positive job outcomes, among young disabled people on such schemes?</w:t>
      </w:r>
      <w:r w:rsidR="00C20502" w:rsidRPr="00AF652D">
        <w:rPr>
          <w:rFonts w:ascii="Arial" w:hAnsi="Arial" w:cs="Arial"/>
          <w:i/>
          <w:sz w:val="24"/>
          <w:szCs w:val="24"/>
        </w:rPr>
        <w:t xml:space="preserve"> </w:t>
      </w:r>
    </w:p>
    <w:p w:rsidR="00A411CE" w:rsidRPr="00AF652D" w:rsidRDefault="00A411CE" w:rsidP="00AB2326">
      <w:pPr>
        <w:pStyle w:val="ListParagraph"/>
        <w:tabs>
          <w:tab w:val="left" w:pos="2694"/>
        </w:tabs>
        <w:spacing w:after="0" w:line="240" w:lineRule="auto"/>
        <w:ind w:left="567"/>
        <w:rPr>
          <w:rFonts w:ascii="Arial" w:hAnsi="Arial" w:cs="Arial"/>
          <w:sz w:val="24"/>
          <w:szCs w:val="24"/>
        </w:rPr>
      </w:pPr>
    </w:p>
    <w:p w:rsidR="00AE4B2B" w:rsidRPr="00AF652D" w:rsidRDefault="0022699A"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The structure of vocational training schools and programmes was described in detail </w:t>
      </w:r>
      <w:r w:rsidR="0023145F" w:rsidRPr="00AF652D">
        <w:rPr>
          <w:rFonts w:ascii="Arial" w:hAnsi="Arial" w:cs="Arial"/>
          <w:sz w:val="24"/>
          <w:szCs w:val="24"/>
        </w:rPr>
        <w:t>at</w:t>
      </w:r>
      <w:r w:rsidRPr="00AF652D">
        <w:rPr>
          <w:rFonts w:ascii="Arial" w:hAnsi="Arial" w:cs="Arial"/>
          <w:sz w:val="24"/>
          <w:szCs w:val="24"/>
        </w:rPr>
        <w:t xml:space="preserve"> section 1.1. </w:t>
      </w:r>
    </w:p>
    <w:p w:rsidR="00AE4B2B" w:rsidRPr="00AF652D" w:rsidRDefault="00AE4B2B" w:rsidP="00AB2326">
      <w:pPr>
        <w:tabs>
          <w:tab w:val="left" w:pos="2694"/>
        </w:tabs>
        <w:spacing w:after="0" w:line="240" w:lineRule="auto"/>
        <w:jc w:val="both"/>
        <w:rPr>
          <w:rFonts w:ascii="Arial" w:hAnsi="Arial" w:cs="Arial"/>
          <w:sz w:val="24"/>
          <w:szCs w:val="24"/>
        </w:rPr>
      </w:pPr>
    </w:p>
    <w:p w:rsidR="0019478E" w:rsidRPr="00AF652D" w:rsidRDefault="00DE6D32"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According to long-term figures</w:t>
      </w:r>
      <w:r w:rsidR="00B713CF" w:rsidRPr="00AF652D">
        <w:rPr>
          <w:rFonts w:ascii="Arial" w:hAnsi="Arial" w:cs="Arial"/>
          <w:sz w:val="24"/>
          <w:szCs w:val="24"/>
        </w:rPr>
        <w:t xml:space="preserve"> (from 2001/200</w:t>
      </w:r>
      <w:r w:rsidR="00DE6B80" w:rsidRPr="00AF652D">
        <w:rPr>
          <w:rFonts w:ascii="Arial" w:hAnsi="Arial" w:cs="Arial"/>
          <w:sz w:val="24"/>
          <w:szCs w:val="24"/>
        </w:rPr>
        <w:t>2</w:t>
      </w:r>
      <w:r w:rsidR="00B713CF" w:rsidRPr="00AF652D">
        <w:rPr>
          <w:rFonts w:ascii="Arial" w:hAnsi="Arial" w:cs="Arial"/>
          <w:sz w:val="24"/>
          <w:szCs w:val="24"/>
        </w:rPr>
        <w:t>)</w:t>
      </w:r>
      <w:r w:rsidRPr="00AF652D">
        <w:rPr>
          <w:rFonts w:ascii="Arial" w:hAnsi="Arial" w:cs="Arial"/>
          <w:sz w:val="24"/>
          <w:szCs w:val="24"/>
        </w:rPr>
        <w:t xml:space="preserve">, the proportion of the stately operated </w:t>
      </w:r>
      <w:r w:rsidR="008414DA" w:rsidRPr="00AF652D">
        <w:rPr>
          <w:rFonts w:ascii="Arial" w:hAnsi="Arial" w:cs="Arial"/>
          <w:sz w:val="24"/>
          <w:szCs w:val="24"/>
        </w:rPr>
        <w:t>vocationa</w:t>
      </w:r>
      <w:r w:rsidR="000D6685" w:rsidRPr="00AF652D">
        <w:rPr>
          <w:rFonts w:ascii="Arial" w:hAnsi="Arial" w:cs="Arial"/>
          <w:sz w:val="24"/>
          <w:szCs w:val="24"/>
        </w:rPr>
        <w:t>l</w:t>
      </w:r>
      <w:r w:rsidR="008414DA" w:rsidRPr="00AF652D">
        <w:rPr>
          <w:rFonts w:ascii="Arial" w:hAnsi="Arial" w:cs="Arial"/>
          <w:sz w:val="24"/>
          <w:szCs w:val="24"/>
        </w:rPr>
        <w:t xml:space="preserve"> school </w:t>
      </w:r>
      <w:r w:rsidRPr="00AF652D">
        <w:rPr>
          <w:rFonts w:ascii="Arial" w:hAnsi="Arial" w:cs="Arial"/>
          <w:sz w:val="24"/>
          <w:szCs w:val="24"/>
        </w:rPr>
        <w:t>institutions and school-sites considerably decrease</w:t>
      </w:r>
      <w:r w:rsidR="00811931" w:rsidRPr="00AF652D">
        <w:rPr>
          <w:rFonts w:ascii="Arial" w:hAnsi="Arial" w:cs="Arial"/>
          <w:sz w:val="24"/>
          <w:szCs w:val="24"/>
        </w:rPr>
        <w:t>d</w:t>
      </w:r>
      <w:r w:rsidRPr="00AF652D">
        <w:rPr>
          <w:rFonts w:ascii="Arial" w:hAnsi="Arial" w:cs="Arial"/>
          <w:sz w:val="24"/>
          <w:szCs w:val="24"/>
        </w:rPr>
        <w:t xml:space="preserve">, while the </w:t>
      </w:r>
      <w:r w:rsidR="00B713CF" w:rsidRPr="00AF652D">
        <w:rPr>
          <w:rFonts w:ascii="Arial" w:hAnsi="Arial" w:cs="Arial"/>
          <w:sz w:val="24"/>
          <w:szCs w:val="24"/>
        </w:rPr>
        <w:lastRenderedPageBreak/>
        <w:t xml:space="preserve">churches and the private entities </w:t>
      </w:r>
      <w:r w:rsidR="002B67CF" w:rsidRPr="00AF652D">
        <w:rPr>
          <w:rFonts w:ascii="Arial" w:hAnsi="Arial" w:cs="Arial"/>
          <w:sz w:val="24"/>
          <w:szCs w:val="24"/>
        </w:rPr>
        <w:t>operate</w:t>
      </w:r>
      <w:r w:rsidR="00811931" w:rsidRPr="00AF652D">
        <w:rPr>
          <w:rFonts w:ascii="Arial" w:hAnsi="Arial" w:cs="Arial"/>
          <w:sz w:val="24"/>
          <w:szCs w:val="24"/>
        </w:rPr>
        <w:t>d</w:t>
      </w:r>
      <w:r w:rsidR="002B67CF" w:rsidRPr="00AF652D">
        <w:rPr>
          <w:rFonts w:ascii="Arial" w:hAnsi="Arial" w:cs="Arial"/>
          <w:sz w:val="24"/>
          <w:szCs w:val="24"/>
        </w:rPr>
        <w:t xml:space="preserve"> such institutions and school-sites in an increasing number.</w:t>
      </w:r>
      <w:r w:rsidR="00066A6B" w:rsidRPr="00AF652D">
        <w:rPr>
          <w:rStyle w:val="FootnoteReference"/>
          <w:rFonts w:ascii="Arial" w:hAnsi="Arial" w:cs="Arial"/>
          <w:sz w:val="24"/>
          <w:szCs w:val="24"/>
        </w:rPr>
        <w:footnoteReference w:id="24"/>
      </w:r>
      <w:r w:rsidR="008E666D" w:rsidRPr="00AF652D">
        <w:rPr>
          <w:rFonts w:ascii="Arial" w:hAnsi="Arial" w:cs="Arial"/>
          <w:sz w:val="24"/>
          <w:szCs w:val="24"/>
        </w:rPr>
        <w:t xml:space="preserve"> </w:t>
      </w:r>
      <w:r w:rsidR="007E435C" w:rsidRPr="00AF652D">
        <w:rPr>
          <w:rFonts w:ascii="Arial" w:hAnsi="Arial" w:cs="Arial"/>
          <w:sz w:val="24"/>
          <w:szCs w:val="24"/>
        </w:rPr>
        <w:t xml:space="preserve">The trend </w:t>
      </w:r>
      <w:r w:rsidR="00B84E05" w:rsidRPr="00AF652D">
        <w:rPr>
          <w:rFonts w:ascii="Arial" w:hAnsi="Arial" w:cs="Arial"/>
          <w:sz w:val="24"/>
          <w:szCs w:val="24"/>
        </w:rPr>
        <w:t>was</w:t>
      </w:r>
      <w:r w:rsidR="007E435C" w:rsidRPr="00AF652D">
        <w:rPr>
          <w:rFonts w:ascii="Arial" w:hAnsi="Arial" w:cs="Arial"/>
          <w:sz w:val="24"/>
          <w:szCs w:val="24"/>
        </w:rPr>
        <w:t xml:space="preserve"> very similar in terms of the </w:t>
      </w:r>
      <w:r w:rsidR="00B84E05" w:rsidRPr="00AF652D">
        <w:rPr>
          <w:rFonts w:ascii="Arial" w:hAnsi="Arial" w:cs="Arial"/>
          <w:sz w:val="24"/>
          <w:szCs w:val="24"/>
        </w:rPr>
        <w:t xml:space="preserve">secondary vocational schools. </w:t>
      </w:r>
      <w:r w:rsidR="00811931" w:rsidRPr="00AF652D">
        <w:rPr>
          <w:rFonts w:ascii="Arial" w:hAnsi="Arial" w:cs="Arial"/>
          <w:sz w:val="24"/>
          <w:szCs w:val="24"/>
        </w:rPr>
        <w:t xml:space="preserve">Special vocational schools were </w:t>
      </w:r>
      <w:r w:rsidR="003D4524" w:rsidRPr="00AF652D">
        <w:rPr>
          <w:rFonts w:ascii="Arial" w:hAnsi="Arial" w:cs="Arial"/>
          <w:sz w:val="24"/>
          <w:szCs w:val="24"/>
        </w:rPr>
        <w:t xml:space="preserve">predominantly </w:t>
      </w:r>
      <w:r w:rsidR="00811931" w:rsidRPr="00AF652D">
        <w:rPr>
          <w:rFonts w:ascii="Arial" w:hAnsi="Arial" w:cs="Arial"/>
          <w:sz w:val="24"/>
          <w:szCs w:val="24"/>
        </w:rPr>
        <w:t>operated by the state</w:t>
      </w:r>
      <w:r w:rsidR="00D45E7E" w:rsidRPr="00AF652D">
        <w:rPr>
          <w:rFonts w:ascii="Arial" w:hAnsi="Arial" w:cs="Arial"/>
          <w:sz w:val="24"/>
          <w:szCs w:val="24"/>
        </w:rPr>
        <w:t>,</w:t>
      </w:r>
      <w:r w:rsidR="005B557B" w:rsidRPr="00AF652D">
        <w:rPr>
          <w:rFonts w:ascii="Arial" w:hAnsi="Arial" w:cs="Arial"/>
          <w:sz w:val="24"/>
          <w:szCs w:val="24"/>
        </w:rPr>
        <w:t xml:space="preserve"> the number of the institutions maintained by churches and the private entities was less than 10 in every year since 20</w:t>
      </w:r>
      <w:r w:rsidR="007E435C" w:rsidRPr="00AF652D">
        <w:rPr>
          <w:rFonts w:ascii="Arial" w:hAnsi="Arial" w:cs="Arial"/>
          <w:sz w:val="24"/>
          <w:szCs w:val="24"/>
        </w:rPr>
        <w:t>01.</w:t>
      </w:r>
      <w:r w:rsidR="007E435C" w:rsidRPr="00AF652D">
        <w:rPr>
          <w:rStyle w:val="FootnoteReference"/>
          <w:rFonts w:ascii="Arial" w:hAnsi="Arial" w:cs="Arial"/>
          <w:sz w:val="24"/>
          <w:szCs w:val="24"/>
        </w:rPr>
        <w:footnoteReference w:id="25"/>
      </w:r>
    </w:p>
    <w:p w:rsidR="00EA1905" w:rsidRPr="00AF652D" w:rsidRDefault="00EA1905" w:rsidP="00AB2326">
      <w:pPr>
        <w:tabs>
          <w:tab w:val="left" w:pos="2694"/>
        </w:tabs>
        <w:spacing w:after="0" w:line="240" w:lineRule="auto"/>
        <w:rPr>
          <w:rFonts w:ascii="Arial" w:hAnsi="Arial" w:cs="Arial"/>
          <w:sz w:val="24"/>
          <w:szCs w:val="24"/>
        </w:rPr>
      </w:pPr>
    </w:p>
    <w:p w:rsidR="00193F45" w:rsidRPr="00AF652D" w:rsidRDefault="00193F45"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Figures on the participation of students with SEN were referred under section 1.1.</w:t>
      </w:r>
    </w:p>
    <w:p w:rsidR="00193F45" w:rsidRPr="00AF652D" w:rsidRDefault="00193F45" w:rsidP="00AB2326">
      <w:pPr>
        <w:tabs>
          <w:tab w:val="left" w:pos="2694"/>
        </w:tabs>
        <w:spacing w:after="0" w:line="240" w:lineRule="auto"/>
        <w:rPr>
          <w:rFonts w:ascii="Arial" w:hAnsi="Arial" w:cs="Arial"/>
          <w:sz w:val="24"/>
          <w:szCs w:val="24"/>
        </w:rPr>
      </w:pPr>
    </w:p>
    <w:p w:rsidR="001A2E80" w:rsidRPr="00AF652D" w:rsidRDefault="001A2E8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Stately operated institutions are funded by </w:t>
      </w:r>
      <w:r w:rsidR="00193F45" w:rsidRPr="00AF652D">
        <w:rPr>
          <w:rFonts w:ascii="Arial" w:hAnsi="Arial" w:cs="Arial"/>
          <w:sz w:val="24"/>
          <w:szCs w:val="24"/>
        </w:rPr>
        <w:t>primarily budgetary</w:t>
      </w:r>
      <w:r w:rsidRPr="00AF652D">
        <w:rPr>
          <w:rFonts w:ascii="Arial" w:hAnsi="Arial" w:cs="Arial"/>
          <w:sz w:val="24"/>
          <w:szCs w:val="24"/>
        </w:rPr>
        <w:t xml:space="preserve"> resources. Private and church entities may operate vocational training institutes </w:t>
      </w:r>
      <w:r w:rsidR="00791808" w:rsidRPr="00AF652D">
        <w:rPr>
          <w:rFonts w:ascii="Arial" w:hAnsi="Arial" w:cs="Arial"/>
          <w:sz w:val="24"/>
          <w:szCs w:val="24"/>
        </w:rPr>
        <w:t xml:space="preserve">based on specific agreements </w:t>
      </w:r>
      <w:r w:rsidR="001078AA" w:rsidRPr="00AF652D">
        <w:rPr>
          <w:rFonts w:ascii="Arial" w:hAnsi="Arial" w:cs="Arial"/>
          <w:sz w:val="24"/>
          <w:szCs w:val="24"/>
        </w:rPr>
        <w:t xml:space="preserve">concluded with the </w:t>
      </w:r>
      <w:r w:rsidR="002A39D5" w:rsidRPr="00AF652D">
        <w:rPr>
          <w:rFonts w:ascii="Arial" w:hAnsi="Arial" w:cs="Arial"/>
          <w:sz w:val="24"/>
          <w:szCs w:val="24"/>
        </w:rPr>
        <w:t>metropolitan or county government office</w:t>
      </w:r>
      <w:r w:rsidR="00A23CA5" w:rsidRPr="00AF652D">
        <w:rPr>
          <w:rFonts w:ascii="Arial" w:hAnsi="Arial" w:cs="Arial"/>
          <w:sz w:val="24"/>
          <w:szCs w:val="24"/>
        </w:rPr>
        <w:t xml:space="preserve">, </w:t>
      </w:r>
      <w:r w:rsidR="00D45E7E" w:rsidRPr="00AF652D">
        <w:rPr>
          <w:rFonts w:ascii="Arial" w:hAnsi="Arial" w:cs="Arial"/>
          <w:sz w:val="24"/>
          <w:szCs w:val="24"/>
        </w:rPr>
        <w:t>providing for</w:t>
      </w:r>
      <w:r w:rsidR="00A23CA5" w:rsidRPr="00AF652D">
        <w:rPr>
          <w:rFonts w:ascii="Arial" w:hAnsi="Arial" w:cs="Arial"/>
          <w:sz w:val="24"/>
          <w:szCs w:val="24"/>
        </w:rPr>
        <w:t xml:space="preserve"> the conditions of the financial contribution of the state</w:t>
      </w:r>
      <w:r w:rsidR="00FF2852" w:rsidRPr="00AF652D">
        <w:rPr>
          <w:rFonts w:ascii="Arial" w:hAnsi="Arial" w:cs="Arial"/>
          <w:sz w:val="24"/>
          <w:szCs w:val="24"/>
        </w:rPr>
        <w:t xml:space="preserve"> to the </w:t>
      </w:r>
      <w:r w:rsidR="00446004" w:rsidRPr="00AF652D">
        <w:rPr>
          <w:rFonts w:ascii="Arial" w:hAnsi="Arial" w:cs="Arial"/>
          <w:sz w:val="24"/>
          <w:szCs w:val="24"/>
        </w:rPr>
        <w:t>operation of the concerned institutions.</w:t>
      </w:r>
      <w:r w:rsidR="00F6542B" w:rsidRPr="00AF652D">
        <w:rPr>
          <w:rStyle w:val="FootnoteReference"/>
          <w:rFonts w:ascii="Arial" w:hAnsi="Arial" w:cs="Arial"/>
          <w:sz w:val="24"/>
          <w:szCs w:val="24"/>
        </w:rPr>
        <w:footnoteReference w:id="26"/>
      </w:r>
    </w:p>
    <w:p w:rsidR="00B06568" w:rsidRPr="00AF652D" w:rsidRDefault="00B06568" w:rsidP="00AB2326">
      <w:pPr>
        <w:tabs>
          <w:tab w:val="left" w:pos="2694"/>
        </w:tabs>
        <w:spacing w:after="0" w:line="240" w:lineRule="auto"/>
        <w:rPr>
          <w:rFonts w:ascii="Arial" w:hAnsi="Arial" w:cs="Arial"/>
          <w:sz w:val="24"/>
          <w:szCs w:val="24"/>
        </w:rPr>
      </w:pPr>
    </w:p>
    <w:p w:rsidR="00D804EB" w:rsidRPr="00AF652D" w:rsidRDefault="00D804EB"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Employers are obliged </w:t>
      </w:r>
      <w:r w:rsidR="00695C3F" w:rsidRPr="00AF652D">
        <w:rPr>
          <w:rFonts w:ascii="Arial" w:hAnsi="Arial" w:cs="Arial"/>
          <w:sz w:val="24"/>
          <w:szCs w:val="24"/>
        </w:rPr>
        <w:t xml:space="preserve">either </w:t>
      </w:r>
      <w:r w:rsidRPr="00AF652D">
        <w:rPr>
          <w:rFonts w:ascii="Arial" w:hAnsi="Arial" w:cs="Arial"/>
          <w:sz w:val="24"/>
          <w:szCs w:val="24"/>
        </w:rPr>
        <w:t xml:space="preserve">to pay a so called “vocational training contribution” to </w:t>
      </w:r>
      <w:r w:rsidR="00347174" w:rsidRPr="00AF652D">
        <w:rPr>
          <w:rFonts w:ascii="Arial" w:hAnsi="Arial" w:cs="Arial"/>
          <w:sz w:val="24"/>
          <w:szCs w:val="24"/>
        </w:rPr>
        <w:t xml:space="preserve">a specific public fund </w:t>
      </w:r>
      <w:r w:rsidR="00695C3F" w:rsidRPr="00AF652D">
        <w:rPr>
          <w:rFonts w:ascii="Arial" w:hAnsi="Arial" w:cs="Arial"/>
          <w:sz w:val="24"/>
          <w:szCs w:val="24"/>
        </w:rPr>
        <w:t xml:space="preserve">designed to </w:t>
      </w:r>
      <w:r w:rsidR="0058128B" w:rsidRPr="00AF652D">
        <w:rPr>
          <w:rFonts w:ascii="Arial" w:hAnsi="Arial" w:cs="Arial"/>
          <w:sz w:val="24"/>
          <w:szCs w:val="24"/>
        </w:rPr>
        <w:t>support the development of vocational training institutions and programmes</w:t>
      </w:r>
      <w:r w:rsidR="00347174" w:rsidRPr="00AF652D">
        <w:rPr>
          <w:rFonts w:ascii="Arial" w:hAnsi="Arial" w:cs="Arial"/>
          <w:sz w:val="24"/>
          <w:szCs w:val="24"/>
        </w:rPr>
        <w:t xml:space="preserve">, or </w:t>
      </w:r>
      <w:r w:rsidR="00695C3F" w:rsidRPr="00AF652D">
        <w:rPr>
          <w:rFonts w:ascii="Arial" w:hAnsi="Arial" w:cs="Arial"/>
          <w:sz w:val="24"/>
          <w:szCs w:val="24"/>
        </w:rPr>
        <w:t xml:space="preserve">directly </w:t>
      </w:r>
      <w:r w:rsidR="0057245C" w:rsidRPr="00AF652D">
        <w:rPr>
          <w:rFonts w:ascii="Arial" w:hAnsi="Arial" w:cs="Arial"/>
          <w:sz w:val="24"/>
          <w:szCs w:val="24"/>
        </w:rPr>
        <w:t>organise apprenticeship</w:t>
      </w:r>
      <w:r w:rsidR="008C4488" w:rsidRPr="00AF652D">
        <w:rPr>
          <w:rFonts w:ascii="Arial" w:hAnsi="Arial" w:cs="Arial"/>
          <w:sz w:val="24"/>
          <w:szCs w:val="24"/>
        </w:rPr>
        <w:t xml:space="preserve"> programmes.</w:t>
      </w:r>
      <w:r w:rsidR="00566908" w:rsidRPr="00AF652D">
        <w:rPr>
          <w:rStyle w:val="FootnoteReference"/>
          <w:rFonts w:ascii="Arial" w:hAnsi="Arial" w:cs="Arial"/>
          <w:sz w:val="24"/>
          <w:szCs w:val="24"/>
        </w:rPr>
        <w:footnoteReference w:id="27"/>
      </w:r>
    </w:p>
    <w:p w:rsidR="008C4488" w:rsidRPr="00AF652D" w:rsidRDefault="008C4488" w:rsidP="00AB2326">
      <w:pPr>
        <w:tabs>
          <w:tab w:val="left" w:pos="2694"/>
        </w:tabs>
        <w:spacing w:after="0" w:line="240" w:lineRule="auto"/>
        <w:rPr>
          <w:rFonts w:ascii="Arial" w:hAnsi="Arial" w:cs="Arial"/>
          <w:sz w:val="24"/>
          <w:szCs w:val="24"/>
        </w:rPr>
      </w:pPr>
    </w:p>
    <w:p w:rsidR="008C4488" w:rsidRPr="00AF652D" w:rsidRDefault="008C4488"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There are more EU-funded or co-funded tenders </w:t>
      </w:r>
      <w:r w:rsidR="00D50166" w:rsidRPr="00AF652D">
        <w:rPr>
          <w:rFonts w:ascii="Arial" w:hAnsi="Arial" w:cs="Arial"/>
          <w:sz w:val="24"/>
          <w:szCs w:val="24"/>
        </w:rPr>
        <w:t xml:space="preserve">for the development of vocational training programmes, e.g. the </w:t>
      </w:r>
      <w:r w:rsidR="00066452" w:rsidRPr="00AF652D">
        <w:rPr>
          <w:rFonts w:ascii="Arial" w:hAnsi="Arial" w:cs="Arial"/>
          <w:sz w:val="24"/>
          <w:szCs w:val="24"/>
        </w:rPr>
        <w:t>operational programmes</w:t>
      </w:r>
      <w:r w:rsidR="00D50166" w:rsidRPr="00AF652D">
        <w:rPr>
          <w:rFonts w:ascii="Arial" w:hAnsi="Arial" w:cs="Arial"/>
          <w:sz w:val="24"/>
          <w:szCs w:val="24"/>
        </w:rPr>
        <w:t xml:space="preserve"> referred under 1.2.</w:t>
      </w:r>
      <w:r w:rsidR="0057245C" w:rsidRPr="00AF652D">
        <w:rPr>
          <w:rStyle w:val="FootnoteReference"/>
          <w:rFonts w:ascii="Arial" w:hAnsi="Arial" w:cs="Arial"/>
          <w:sz w:val="24"/>
          <w:szCs w:val="24"/>
        </w:rPr>
        <w:footnoteReference w:id="28"/>
      </w:r>
    </w:p>
    <w:p w:rsidR="00D804EB" w:rsidRPr="00AF652D" w:rsidRDefault="00D804EB" w:rsidP="00AB2326">
      <w:pPr>
        <w:tabs>
          <w:tab w:val="left" w:pos="2694"/>
        </w:tabs>
        <w:spacing w:after="0" w:line="240" w:lineRule="auto"/>
        <w:rPr>
          <w:rFonts w:ascii="Arial" w:hAnsi="Arial" w:cs="Arial"/>
          <w:sz w:val="24"/>
          <w:szCs w:val="24"/>
        </w:rPr>
      </w:pPr>
    </w:p>
    <w:p w:rsidR="00B8455F" w:rsidRDefault="00E0346C"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Some specific laws and programmes were dedicated to </w:t>
      </w:r>
      <w:proofErr w:type="gramStart"/>
      <w:r w:rsidRPr="00AF652D">
        <w:rPr>
          <w:rFonts w:ascii="Arial" w:hAnsi="Arial" w:cs="Arial"/>
          <w:sz w:val="24"/>
          <w:szCs w:val="24"/>
        </w:rPr>
        <w:t>mitigate</w:t>
      </w:r>
      <w:proofErr w:type="gramEnd"/>
      <w:r w:rsidRPr="00AF652D">
        <w:rPr>
          <w:rFonts w:ascii="Arial" w:hAnsi="Arial" w:cs="Arial"/>
          <w:sz w:val="24"/>
          <w:szCs w:val="24"/>
        </w:rPr>
        <w:t xml:space="preserve"> the disadvantages of young persons with disabilities in the field of vocational training. </w:t>
      </w:r>
    </w:p>
    <w:p w:rsidR="00AF652D" w:rsidRPr="00AF652D" w:rsidRDefault="00AF652D" w:rsidP="00AB2326">
      <w:pPr>
        <w:tabs>
          <w:tab w:val="left" w:pos="2694"/>
        </w:tabs>
        <w:spacing w:after="0" w:line="240" w:lineRule="auto"/>
        <w:jc w:val="both"/>
        <w:rPr>
          <w:rFonts w:ascii="Arial" w:hAnsi="Arial" w:cs="Arial"/>
          <w:sz w:val="24"/>
          <w:szCs w:val="24"/>
        </w:rPr>
      </w:pPr>
    </w:p>
    <w:p w:rsidR="00E0346C" w:rsidRPr="00AF652D" w:rsidRDefault="00E0346C"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Attending a single vocational training programme </w:t>
      </w:r>
      <w:r w:rsidR="00B8455F" w:rsidRPr="00AF652D">
        <w:rPr>
          <w:rFonts w:ascii="Arial" w:hAnsi="Arial" w:cs="Arial"/>
          <w:sz w:val="24"/>
          <w:szCs w:val="24"/>
        </w:rPr>
        <w:t>wa</w:t>
      </w:r>
      <w:r w:rsidRPr="00AF652D">
        <w:rPr>
          <w:rFonts w:ascii="Arial" w:hAnsi="Arial" w:cs="Arial"/>
          <w:sz w:val="24"/>
          <w:szCs w:val="24"/>
        </w:rPr>
        <w:t>s available for students with SEN free of charge.</w:t>
      </w:r>
      <w:r w:rsidR="00AE420E" w:rsidRPr="00AF652D">
        <w:rPr>
          <w:rFonts w:ascii="Arial" w:hAnsi="Arial" w:cs="Arial"/>
          <w:sz w:val="24"/>
          <w:szCs w:val="24"/>
        </w:rPr>
        <w:t xml:space="preserve"> </w:t>
      </w:r>
      <w:r w:rsidRPr="00AF652D">
        <w:rPr>
          <w:rFonts w:ascii="Arial" w:hAnsi="Arial" w:cs="Arial"/>
          <w:sz w:val="24"/>
          <w:szCs w:val="24"/>
        </w:rPr>
        <w:t xml:space="preserve">For students with mild intellectual disability or psychical disorders, the </w:t>
      </w:r>
      <w:r w:rsidR="003C21E8" w:rsidRPr="00AF652D">
        <w:rPr>
          <w:rFonts w:ascii="Arial" w:hAnsi="Arial" w:cs="Arial"/>
          <w:sz w:val="24"/>
          <w:szCs w:val="24"/>
        </w:rPr>
        <w:t xml:space="preserve">attention of the </w:t>
      </w:r>
      <w:r w:rsidRPr="00AF652D">
        <w:rPr>
          <w:rFonts w:ascii="Arial" w:hAnsi="Arial" w:cs="Arial"/>
          <w:sz w:val="24"/>
          <w:szCs w:val="24"/>
        </w:rPr>
        <w:t>second</w:t>
      </w:r>
      <w:r w:rsidR="00B8455F" w:rsidRPr="00AF652D">
        <w:rPr>
          <w:rFonts w:ascii="Arial" w:hAnsi="Arial" w:cs="Arial"/>
          <w:sz w:val="24"/>
          <w:szCs w:val="24"/>
        </w:rPr>
        <w:t xml:space="preserve"> vocational training programme wa</w:t>
      </w:r>
      <w:r w:rsidRPr="00AF652D">
        <w:rPr>
          <w:rFonts w:ascii="Arial" w:hAnsi="Arial" w:cs="Arial"/>
          <w:sz w:val="24"/>
          <w:szCs w:val="24"/>
        </w:rPr>
        <w:t>s also free of charge.</w:t>
      </w:r>
      <w:r w:rsidRPr="00AF652D">
        <w:rPr>
          <w:rStyle w:val="FootnoteReference"/>
          <w:rFonts w:ascii="Arial" w:hAnsi="Arial" w:cs="Arial"/>
          <w:sz w:val="24"/>
          <w:szCs w:val="24"/>
        </w:rPr>
        <w:footnoteReference w:id="29"/>
      </w:r>
    </w:p>
    <w:p w:rsidR="00E0346C" w:rsidRPr="00AF652D" w:rsidRDefault="00687D2D"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Accommodation </w:t>
      </w:r>
      <w:r w:rsidR="00184A1E" w:rsidRPr="00AF652D">
        <w:rPr>
          <w:rFonts w:ascii="Arial" w:hAnsi="Arial" w:cs="Arial"/>
          <w:sz w:val="24"/>
          <w:szCs w:val="24"/>
        </w:rPr>
        <w:t>wa</w:t>
      </w:r>
      <w:r w:rsidRPr="00AF652D">
        <w:rPr>
          <w:rFonts w:ascii="Arial" w:hAnsi="Arial" w:cs="Arial"/>
          <w:sz w:val="24"/>
          <w:szCs w:val="24"/>
        </w:rPr>
        <w:t>s</w:t>
      </w:r>
      <w:r w:rsidR="00AE420E" w:rsidRPr="00AF652D">
        <w:rPr>
          <w:rFonts w:ascii="Arial" w:hAnsi="Arial" w:cs="Arial"/>
          <w:sz w:val="24"/>
          <w:szCs w:val="24"/>
        </w:rPr>
        <w:t xml:space="preserve"> </w:t>
      </w:r>
      <w:r w:rsidR="00184A1E" w:rsidRPr="00AF652D">
        <w:rPr>
          <w:rFonts w:ascii="Arial" w:hAnsi="Arial" w:cs="Arial"/>
          <w:sz w:val="24"/>
          <w:szCs w:val="24"/>
        </w:rPr>
        <w:t xml:space="preserve">(and still is) </w:t>
      </w:r>
      <w:r w:rsidR="00E0346C" w:rsidRPr="00AF652D">
        <w:rPr>
          <w:rFonts w:ascii="Arial" w:hAnsi="Arial" w:cs="Arial"/>
          <w:sz w:val="24"/>
          <w:szCs w:val="24"/>
        </w:rPr>
        <w:t xml:space="preserve">provided for students with SEN </w:t>
      </w:r>
      <w:proofErr w:type="gramStart"/>
      <w:r w:rsidR="00E0346C" w:rsidRPr="00AF652D">
        <w:rPr>
          <w:rFonts w:ascii="Arial" w:hAnsi="Arial" w:cs="Arial"/>
          <w:sz w:val="24"/>
          <w:szCs w:val="24"/>
        </w:rPr>
        <w:t>in the course of</w:t>
      </w:r>
      <w:proofErr w:type="gramEnd"/>
      <w:r w:rsidR="00E0346C" w:rsidRPr="00AF652D">
        <w:rPr>
          <w:rFonts w:ascii="Arial" w:hAnsi="Arial" w:cs="Arial"/>
          <w:sz w:val="24"/>
          <w:szCs w:val="24"/>
        </w:rPr>
        <w:t xml:space="preserve"> the education, training and examination. Eligibility for the accommodation is established by the expert committee.</w:t>
      </w:r>
      <w:r w:rsidR="00224252" w:rsidRPr="00AF652D">
        <w:rPr>
          <w:rFonts w:ascii="Arial" w:hAnsi="Arial" w:cs="Arial"/>
          <w:sz w:val="24"/>
          <w:szCs w:val="24"/>
        </w:rPr>
        <w:t xml:space="preserve"> The expert committee may </w:t>
      </w:r>
      <w:r w:rsidR="009B3966" w:rsidRPr="00AF652D">
        <w:rPr>
          <w:rFonts w:ascii="Arial" w:hAnsi="Arial" w:cs="Arial"/>
          <w:sz w:val="24"/>
          <w:szCs w:val="24"/>
        </w:rPr>
        <w:t xml:space="preserve">oblige the educational institution to ensure of one or more accommodating </w:t>
      </w:r>
      <w:r w:rsidR="008112C6" w:rsidRPr="00AF652D">
        <w:rPr>
          <w:rFonts w:ascii="Arial" w:hAnsi="Arial" w:cs="Arial"/>
          <w:sz w:val="24"/>
          <w:szCs w:val="24"/>
        </w:rPr>
        <w:t xml:space="preserve">services </w:t>
      </w:r>
      <w:r w:rsidR="00693D2C" w:rsidRPr="00AF652D">
        <w:rPr>
          <w:rFonts w:ascii="Arial" w:hAnsi="Arial" w:cs="Arial"/>
          <w:sz w:val="24"/>
          <w:szCs w:val="24"/>
        </w:rPr>
        <w:t xml:space="preserve">listed </w:t>
      </w:r>
      <w:r w:rsidR="008112C6" w:rsidRPr="00AF652D">
        <w:rPr>
          <w:rFonts w:ascii="Arial" w:hAnsi="Arial" w:cs="Arial"/>
          <w:sz w:val="24"/>
          <w:szCs w:val="24"/>
        </w:rPr>
        <w:t>in the VT Act, such as exemption from specific subjects, extra time for the exams, use of technical or personal assistance or during the exams etc.</w:t>
      </w:r>
      <w:r w:rsidR="008112C6" w:rsidRPr="00AF652D">
        <w:rPr>
          <w:rStyle w:val="FootnoteReference"/>
          <w:rFonts w:ascii="Arial" w:hAnsi="Arial" w:cs="Arial"/>
          <w:sz w:val="24"/>
          <w:szCs w:val="24"/>
        </w:rPr>
        <w:footnoteReference w:id="30"/>
      </w:r>
      <w:r w:rsidR="00693D2C" w:rsidRPr="00AF652D">
        <w:rPr>
          <w:rFonts w:ascii="Arial" w:hAnsi="Arial" w:cs="Arial"/>
          <w:sz w:val="24"/>
          <w:szCs w:val="24"/>
        </w:rPr>
        <w:t xml:space="preserve"> However, </w:t>
      </w:r>
      <w:r w:rsidR="00132F9E" w:rsidRPr="00AF652D">
        <w:rPr>
          <w:rFonts w:ascii="Arial" w:hAnsi="Arial" w:cs="Arial"/>
          <w:sz w:val="24"/>
          <w:szCs w:val="24"/>
        </w:rPr>
        <w:t>students with SEN are not entitled to any steps of accommo</w:t>
      </w:r>
      <w:r w:rsidR="00FB5A1A" w:rsidRPr="00AF652D">
        <w:rPr>
          <w:rFonts w:ascii="Arial" w:hAnsi="Arial" w:cs="Arial"/>
          <w:sz w:val="24"/>
          <w:szCs w:val="24"/>
        </w:rPr>
        <w:t>d</w:t>
      </w:r>
      <w:r w:rsidR="00132F9E" w:rsidRPr="00AF652D">
        <w:rPr>
          <w:rFonts w:ascii="Arial" w:hAnsi="Arial" w:cs="Arial"/>
          <w:sz w:val="24"/>
          <w:szCs w:val="24"/>
        </w:rPr>
        <w:t>a</w:t>
      </w:r>
      <w:r w:rsidR="00FB5A1A" w:rsidRPr="00AF652D">
        <w:rPr>
          <w:rFonts w:ascii="Arial" w:hAnsi="Arial" w:cs="Arial"/>
          <w:sz w:val="24"/>
          <w:szCs w:val="24"/>
        </w:rPr>
        <w:t>t</w:t>
      </w:r>
      <w:r w:rsidR="00132F9E" w:rsidRPr="00AF652D">
        <w:rPr>
          <w:rFonts w:ascii="Arial" w:hAnsi="Arial" w:cs="Arial"/>
          <w:sz w:val="24"/>
          <w:szCs w:val="24"/>
        </w:rPr>
        <w:t xml:space="preserve">ion other than specified </w:t>
      </w:r>
      <w:r w:rsidR="00FB5A1A" w:rsidRPr="00AF652D">
        <w:rPr>
          <w:rFonts w:ascii="Arial" w:hAnsi="Arial" w:cs="Arial"/>
          <w:sz w:val="24"/>
          <w:szCs w:val="24"/>
        </w:rPr>
        <w:t xml:space="preserve">in the list of the VT Act, so the accommodation duty of the educational institutions is </w:t>
      </w:r>
      <w:r w:rsidR="004A1249" w:rsidRPr="00AF652D">
        <w:rPr>
          <w:rFonts w:ascii="Arial" w:hAnsi="Arial" w:cs="Arial"/>
          <w:sz w:val="24"/>
          <w:szCs w:val="24"/>
        </w:rPr>
        <w:t xml:space="preserve">not </w:t>
      </w:r>
      <w:r w:rsidR="00FB5A1A" w:rsidRPr="00AF652D">
        <w:rPr>
          <w:rFonts w:ascii="Arial" w:hAnsi="Arial" w:cs="Arial"/>
          <w:sz w:val="24"/>
          <w:szCs w:val="24"/>
        </w:rPr>
        <w:t xml:space="preserve">formulated </w:t>
      </w:r>
      <w:r w:rsidR="004A1249" w:rsidRPr="00AF652D">
        <w:rPr>
          <w:rFonts w:ascii="Arial" w:hAnsi="Arial" w:cs="Arial"/>
          <w:sz w:val="24"/>
          <w:szCs w:val="24"/>
        </w:rPr>
        <w:t>in a</w:t>
      </w:r>
      <w:r w:rsidR="00AE420E" w:rsidRPr="00AF652D">
        <w:rPr>
          <w:rFonts w:ascii="Arial" w:hAnsi="Arial" w:cs="Arial"/>
          <w:sz w:val="24"/>
          <w:szCs w:val="24"/>
        </w:rPr>
        <w:t xml:space="preserve"> </w:t>
      </w:r>
      <w:r w:rsidR="00FB5A1A" w:rsidRPr="00AF652D">
        <w:rPr>
          <w:rFonts w:ascii="Arial" w:hAnsi="Arial" w:cs="Arial"/>
          <w:sz w:val="24"/>
          <w:szCs w:val="24"/>
        </w:rPr>
        <w:t xml:space="preserve">sufficiently </w:t>
      </w:r>
      <w:r w:rsidR="004A1249" w:rsidRPr="00AF652D">
        <w:rPr>
          <w:rFonts w:ascii="Arial" w:hAnsi="Arial" w:cs="Arial"/>
          <w:sz w:val="24"/>
          <w:szCs w:val="24"/>
        </w:rPr>
        <w:t>generic way</w:t>
      </w:r>
      <w:r w:rsidR="00FB5A1A" w:rsidRPr="00AF652D">
        <w:rPr>
          <w:rFonts w:ascii="Arial" w:hAnsi="Arial" w:cs="Arial"/>
          <w:sz w:val="24"/>
          <w:szCs w:val="24"/>
        </w:rPr>
        <w:t>.</w:t>
      </w:r>
    </w:p>
    <w:p w:rsidR="00E0346C" w:rsidRPr="00AF652D" w:rsidRDefault="00E0346C"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lastRenderedPageBreak/>
        <w:t xml:space="preserve">Students with SEN </w:t>
      </w:r>
      <w:r w:rsidR="00B301D6" w:rsidRPr="00AF652D">
        <w:rPr>
          <w:rFonts w:ascii="Arial" w:hAnsi="Arial" w:cs="Arial"/>
          <w:sz w:val="24"/>
          <w:szCs w:val="24"/>
        </w:rPr>
        <w:t>could</w:t>
      </w:r>
      <w:r w:rsidR="00AE420E" w:rsidRPr="00AF652D">
        <w:rPr>
          <w:rFonts w:ascii="Arial" w:hAnsi="Arial" w:cs="Arial"/>
          <w:sz w:val="24"/>
          <w:szCs w:val="24"/>
        </w:rPr>
        <w:t xml:space="preserve"> </w:t>
      </w:r>
      <w:r w:rsidR="00B301D6" w:rsidRPr="00AF652D">
        <w:rPr>
          <w:rFonts w:ascii="Arial" w:hAnsi="Arial" w:cs="Arial"/>
          <w:sz w:val="24"/>
          <w:szCs w:val="24"/>
        </w:rPr>
        <w:t xml:space="preserve">(and still can) </w:t>
      </w:r>
      <w:r w:rsidRPr="00AF652D">
        <w:rPr>
          <w:rFonts w:ascii="Arial" w:hAnsi="Arial" w:cs="Arial"/>
          <w:sz w:val="24"/>
          <w:szCs w:val="24"/>
        </w:rPr>
        <w:t xml:space="preserve">be eligible to personalised </w:t>
      </w:r>
      <w:proofErr w:type="spellStart"/>
      <w:r w:rsidRPr="00AF652D">
        <w:rPr>
          <w:rFonts w:ascii="Arial" w:hAnsi="Arial" w:cs="Arial"/>
          <w:sz w:val="24"/>
          <w:szCs w:val="24"/>
        </w:rPr>
        <w:t>habilitation</w:t>
      </w:r>
      <w:proofErr w:type="spellEnd"/>
      <w:r w:rsidRPr="00AF652D">
        <w:rPr>
          <w:rFonts w:ascii="Arial" w:hAnsi="Arial" w:cs="Arial"/>
          <w:sz w:val="24"/>
          <w:szCs w:val="24"/>
        </w:rPr>
        <w:t xml:space="preserve"> and rehabilitati</w:t>
      </w:r>
      <w:r w:rsidR="00F47C9D" w:rsidRPr="00AF652D">
        <w:rPr>
          <w:rFonts w:ascii="Arial" w:hAnsi="Arial" w:cs="Arial"/>
          <w:sz w:val="24"/>
          <w:szCs w:val="24"/>
        </w:rPr>
        <w:t xml:space="preserve">on services specified by the </w:t>
      </w:r>
      <w:r w:rsidRPr="00AF652D">
        <w:rPr>
          <w:rFonts w:ascii="Arial" w:hAnsi="Arial" w:cs="Arial"/>
          <w:sz w:val="24"/>
          <w:szCs w:val="24"/>
        </w:rPr>
        <w:t>opinion of the expert committee.</w:t>
      </w:r>
      <w:r w:rsidRPr="00AF652D">
        <w:rPr>
          <w:rStyle w:val="FootnoteReference"/>
          <w:rFonts w:ascii="Arial" w:hAnsi="Arial" w:cs="Arial"/>
          <w:sz w:val="24"/>
          <w:szCs w:val="24"/>
        </w:rPr>
        <w:footnoteReference w:id="31"/>
      </w:r>
    </w:p>
    <w:p w:rsidR="00AC2931" w:rsidRPr="00AF652D" w:rsidRDefault="00AC2931" w:rsidP="00AB2326">
      <w:pPr>
        <w:pStyle w:val="ListParagraph"/>
        <w:numPr>
          <w:ilvl w:val="0"/>
          <w:numId w:val="16"/>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Specific vocational training programmes </w:t>
      </w:r>
      <w:r w:rsidR="00B301D6" w:rsidRPr="00AF652D">
        <w:rPr>
          <w:rFonts w:ascii="Arial" w:hAnsi="Arial" w:cs="Arial"/>
          <w:sz w:val="24"/>
          <w:szCs w:val="24"/>
        </w:rPr>
        <w:t xml:space="preserve">were adjusted </w:t>
      </w:r>
      <w:r w:rsidRPr="00AF652D">
        <w:rPr>
          <w:rFonts w:ascii="Arial" w:hAnsi="Arial" w:cs="Arial"/>
          <w:sz w:val="24"/>
          <w:szCs w:val="24"/>
        </w:rPr>
        <w:t>to the special needs of students with SEN in the special vocational schools.</w:t>
      </w:r>
      <w:r w:rsidR="00AE420E" w:rsidRPr="00AF652D">
        <w:rPr>
          <w:rFonts w:ascii="Arial" w:hAnsi="Arial" w:cs="Arial"/>
          <w:sz w:val="24"/>
          <w:szCs w:val="24"/>
        </w:rPr>
        <w:t xml:space="preserve"> </w:t>
      </w:r>
      <w:r w:rsidR="00106DA0" w:rsidRPr="00AF652D">
        <w:rPr>
          <w:rFonts w:ascii="Arial" w:hAnsi="Arial" w:cs="Arial"/>
          <w:sz w:val="24"/>
          <w:szCs w:val="24"/>
        </w:rPr>
        <w:t>T</w:t>
      </w:r>
      <w:r w:rsidR="00ED174C" w:rsidRPr="00AF652D">
        <w:rPr>
          <w:rFonts w:ascii="Arial" w:hAnsi="Arial" w:cs="Arial"/>
          <w:sz w:val="24"/>
          <w:szCs w:val="24"/>
        </w:rPr>
        <w:t xml:space="preserve">hese programmes ensure an increased number of hours </w:t>
      </w:r>
      <w:r w:rsidR="00A5259C" w:rsidRPr="00AF652D">
        <w:rPr>
          <w:rFonts w:ascii="Arial" w:hAnsi="Arial" w:cs="Arial"/>
          <w:sz w:val="24"/>
          <w:szCs w:val="24"/>
        </w:rPr>
        <w:t>f</w:t>
      </w:r>
      <w:r w:rsidR="00FB5594" w:rsidRPr="00AF652D">
        <w:rPr>
          <w:rFonts w:ascii="Arial" w:hAnsi="Arial" w:cs="Arial"/>
          <w:sz w:val="24"/>
          <w:szCs w:val="24"/>
        </w:rPr>
        <w:t>or</w:t>
      </w:r>
      <w:r w:rsidR="00AE420E" w:rsidRPr="00AF652D">
        <w:rPr>
          <w:rFonts w:ascii="Arial" w:hAnsi="Arial" w:cs="Arial"/>
          <w:sz w:val="24"/>
          <w:szCs w:val="24"/>
        </w:rPr>
        <w:t xml:space="preserve"> </w:t>
      </w:r>
      <w:r w:rsidR="00A5259C" w:rsidRPr="00AF652D">
        <w:rPr>
          <w:rFonts w:ascii="Arial" w:hAnsi="Arial" w:cs="Arial"/>
          <w:sz w:val="24"/>
          <w:szCs w:val="24"/>
        </w:rPr>
        <w:t>learning compared to the general programmes</w:t>
      </w:r>
      <w:r w:rsidR="00106DA0" w:rsidRPr="00AF652D">
        <w:rPr>
          <w:rFonts w:ascii="Arial" w:hAnsi="Arial" w:cs="Arial"/>
          <w:sz w:val="24"/>
          <w:szCs w:val="24"/>
        </w:rPr>
        <w:t>. T</w:t>
      </w:r>
      <w:r w:rsidR="00A5259C" w:rsidRPr="00AF652D">
        <w:rPr>
          <w:rFonts w:ascii="Arial" w:hAnsi="Arial" w:cs="Arial"/>
          <w:sz w:val="24"/>
          <w:szCs w:val="24"/>
        </w:rPr>
        <w:t xml:space="preserve">he programmes </w:t>
      </w:r>
      <w:r w:rsidR="004E330E" w:rsidRPr="00AF652D">
        <w:rPr>
          <w:rFonts w:ascii="Arial" w:hAnsi="Arial" w:cs="Arial"/>
          <w:sz w:val="24"/>
          <w:szCs w:val="24"/>
        </w:rPr>
        <w:t>ar</w:t>
      </w:r>
      <w:r w:rsidR="00E27857" w:rsidRPr="00AF652D">
        <w:rPr>
          <w:rFonts w:ascii="Arial" w:hAnsi="Arial" w:cs="Arial"/>
          <w:sz w:val="24"/>
          <w:szCs w:val="24"/>
        </w:rPr>
        <w:t xml:space="preserve">e </w:t>
      </w:r>
      <w:r w:rsidR="00FB5594" w:rsidRPr="00AF652D">
        <w:rPr>
          <w:rFonts w:ascii="Arial" w:hAnsi="Arial" w:cs="Arial"/>
          <w:sz w:val="24"/>
          <w:szCs w:val="24"/>
        </w:rPr>
        <w:t xml:space="preserve">elaborated </w:t>
      </w:r>
      <w:r w:rsidR="00E27857" w:rsidRPr="00AF652D">
        <w:rPr>
          <w:rFonts w:ascii="Arial" w:hAnsi="Arial" w:cs="Arial"/>
          <w:sz w:val="24"/>
          <w:szCs w:val="24"/>
        </w:rPr>
        <w:t xml:space="preserve">in </w:t>
      </w:r>
      <w:r w:rsidR="00CE595F" w:rsidRPr="00AF652D">
        <w:rPr>
          <w:rFonts w:ascii="Arial" w:hAnsi="Arial" w:cs="Arial"/>
          <w:sz w:val="24"/>
          <w:szCs w:val="24"/>
        </w:rPr>
        <w:t xml:space="preserve">more versions </w:t>
      </w:r>
      <w:r w:rsidR="00AE420E" w:rsidRPr="00AF652D">
        <w:rPr>
          <w:rFonts w:ascii="Arial" w:hAnsi="Arial" w:cs="Arial"/>
          <w:sz w:val="24"/>
          <w:szCs w:val="24"/>
        </w:rPr>
        <w:t xml:space="preserve">accommodating </w:t>
      </w:r>
      <w:r w:rsidR="00CE595F" w:rsidRPr="00AF652D">
        <w:rPr>
          <w:rFonts w:ascii="Arial" w:hAnsi="Arial" w:cs="Arial"/>
          <w:sz w:val="24"/>
          <w:szCs w:val="24"/>
        </w:rPr>
        <w:t xml:space="preserve">he </w:t>
      </w:r>
      <w:r w:rsidR="00106DA0" w:rsidRPr="00AF652D">
        <w:rPr>
          <w:rFonts w:ascii="Arial" w:hAnsi="Arial" w:cs="Arial"/>
          <w:sz w:val="24"/>
          <w:szCs w:val="24"/>
        </w:rPr>
        <w:t xml:space="preserve">communication and learning </w:t>
      </w:r>
      <w:r w:rsidR="00CE595F" w:rsidRPr="00AF652D">
        <w:rPr>
          <w:rFonts w:ascii="Arial" w:hAnsi="Arial" w:cs="Arial"/>
          <w:sz w:val="24"/>
          <w:szCs w:val="24"/>
        </w:rPr>
        <w:t xml:space="preserve">needs of </w:t>
      </w:r>
      <w:r w:rsidR="00106DA0" w:rsidRPr="00AF652D">
        <w:rPr>
          <w:rFonts w:ascii="Arial" w:hAnsi="Arial" w:cs="Arial"/>
          <w:sz w:val="24"/>
          <w:szCs w:val="24"/>
        </w:rPr>
        <w:t xml:space="preserve">persons with </w:t>
      </w:r>
      <w:r w:rsidR="00CE595F" w:rsidRPr="00AF652D">
        <w:rPr>
          <w:rFonts w:ascii="Arial" w:hAnsi="Arial" w:cs="Arial"/>
          <w:sz w:val="24"/>
          <w:szCs w:val="24"/>
        </w:rPr>
        <w:t xml:space="preserve">specific types of disabilities, such as </w:t>
      </w:r>
      <w:r w:rsidR="00E76223" w:rsidRPr="00AF652D">
        <w:rPr>
          <w:rFonts w:ascii="Arial" w:hAnsi="Arial" w:cs="Arial"/>
          <w:sz w:val="24"/>
          <w:szCs w:val="24"/>
        </w:rPr>
        <w:t xml:space="preserve">for persons with </w:t>
      </w:r>
      <w:r w:rsidR="00CE595F" w:rsidRPr="00AF652D">
        <w:rPr>
          <w:rFonts w:ascii="Arial" w:hAnsi="Arial" w:cs="Arial"/>
          <w:sz w:val="24"/>
          <w:szCs w:val="24"/>
        </w:rPr>
        <w:t>hearing</w:t>
      </w:r>
      <w:r w:rsidR="00E76223" w:rsidRPr="00AF652D">
        <w:rPr>
          <w:rFonts w:ascii="Arial" w:hAnsi="Arial" w:cs="Arial"/>
          <w:sz w:val="24"/>
          <w:szCs w:val="24"/>
        </w:rPr>
        <w:t>, visual, motor and learning disabilities.</w:t>
      </w:r>
      <w:r w:rsidR="00036171" w:rsidRPr="00AF652D">
        <w:rPr>
          <w:rStyle w:val="FootnoteReference"/>
          <w:rFonts w:ascii="Arial" w:hAnsi="Arial" w:cs="Arial"/>
          <w:sz w:val="24"/>
          <w:szCs w:val="24"/>
        </w:rPr>
        <w:footnoteReference w:id="32"/>
      </w:r>
    </w:p>
    <w:p w:rsidR="00B208CE" w:rsidRPr="00AF652D" w:rsidRDefault="00B208CE" w:rsidP="00AB2326">
      <w:pPr>
        <w:tabs>
          <w:tab w:val="left" w:pos="2694"/>
        </w:tabs>
        <w:spacing w:after="0" w:line="240" w:lineRule="auto"/>
        <w:rPr>
          <w:rFonts w:ascii="Arial" w:hAnsi="Arial" w:cs="Arial"/>
          <w:sz w:val="24"/>
          <w:szCs w:val="24"/>
        </w:rPr>
      </w:pPr>
    </w:p>
    <w:p w:rsidR="0022699A" w:rsidRPr="00AF652D" w:rsidRDefault="00105727" w:rsidP="00AB2326">
      <w:pPr>
        <w:tabs>
          <w:tab w:val="left" w:pos="2694"/>
        </w:tabs>
        <w:spacing w:after="0" w:line="240" w:lineRule="auto"/>
        <w:jc w:val="both"/>
        <w:rPr>
          <w:rFonts w:ascii="Arial" w:hAnsi="Arial" w:cs="Arial"/>
          <w:sz w:val="24"/>
          <w:szCs w:val="24"/>
        </w:rPr>
      </w:pPr>
      <w:proofErr w:type="gramStart"/>
      <w:r w:rsidRPr="00AF652D">
        <w:rPr>
          <w:rFonts w:ascii="Arial" w:hAnsi="Arial" w:cs="Arial"/>
          <w:sz w:val="24"/>
          <w:szCs w:val="24"/>
        </w:rPr>
        <w:t>In spite of</w:t>
      </w:r>
      <w:proofErr w:type="gramEnd"/>
      <w:r w:rsidRPr="00AF652D">
        <w:rPr>
          <w:rFonts w:ascii="Arial" w:hAnsi="Arial" w:cs="Arial"/>
          <w:sz w:val="24"/>
          <w:szCs w:val="24"/>
        </w:rPr>
        <w:t xml:space="preserve"> these </w:t>
      </w:r>
      <w:r w:rsidR="007A6832" w:rsidRPr="00AF652D">
        <w:rPr>
          <w:rFonts w:ascii="Arial" w:hAnsi="Arial" w:cs="Arial"/>
          <w:sz w:val="24"/>
          <w:szCs w:val="24"/>
        </w:rPr>
        <w:t>positive steps</w:t>
      </w:r>
      <w:r w:rsidR="00E0346C" w:rsidRPr="00AF652D">
        <w:rPr>
          <w:rFonts w:ascii="Arial" w:hAnsi="Arial" w:cs="Arial"/>
          <w:sz w:val="24"/>
          <w:szCs w:val="24"/>
        </w:rPr>
        <w:t>, the</w:t>
      </w:r>
      <w:r w:rsidRPr="00AF652D">
        <w:rPr>
          <w:rFonts w:ascii="Arial" w:hAnsi="Arial" w:cs="Arial"/>
          <w:sz w:val="24"/>
          <w:szCs w:val="24"/>
        </w:rPr>
        <w:t>re are</w:t>
      </w:r>
      <w:r w:rsidR="00AE420E" w:rsidRPr="00AF652D">
        <w:rPr>
          <w:rFonts w:ascii="Arial" w:hAnsi="Arial" w:cs="Arial"/>
          <w:sz w:val="24"/>
          <w:szCs w:val="24"/>
        </w:rPr>
        <w:t xml:space="preserve"> </w:t>
      </w:r>
      <w:r w:rsidR="008B140A" w:rsidRPr="00AF652D">
        <w:rPr>
          <w:rFonts w:ascii="Arial" w:hAnsi="Arial" w:cs="Arial"/>
          <w:sz w:val="24"/>
          <w:szCs w:val="24"/>
        </w:rPr>
        <w:t>several evidence</w:t>
      </w:r>
      <w:r w:rsidR="00FB5594" w:rsidRPr="00AF652D">
        <w:rPr>
          <w:rFonts w:ascii="Arial" w:hAnsi="Arial" w:cs="Arial"/>
          <w:sz w:val="24"/>
          <w:szCs w:val="24"/>
        </w:rPr>
        <w:t>s</w:t>
      </w:r>
      <w:r w:rsidR="00AE420E" w:rsidRPr="00AF652D">
        <w:rPr>
          <w:rFonts w:ascii="Arial" w:hAnsi="Arial" w:cs="Arial"/>
          <w:sz w:val="24"/>
          <w:szCs w:val="24"/>
        </w:rPr>
        <w:t xml:space="preserve"> </w:t>
      </w:r>
      <w:r w:rsidR="00FB5594" w:rsidRPr="00AF652D">
        <w:rPr>
          <w:rFonts w:ascii="Arial" w:hAnsi="Arial" w:cs="Arial"/>
          <w:sz w:val="24"/>
          <w:szCs w:val="24"/>
        </w:rPr>
        <w:t xml:space="preserve">demonstrating that </w:t>
      </w:r>
      <w:r w:rsidRPr="00AF652D">
        <w:rPr>
          <w:rFonts w:ascii="Arial" w:hAnsi="Arial" w:cs="Arial"/>
          <w:sz w:val="24"/>
          <w:szCs w:val="24"/>
        </w:rPr>
        <w:t xml:space="preserve">students with SEN and other pupils </w:t>
      </w:r>
      <w:r w:rsidR="00EA5E54" w:rsidRPr="00AF652D">
        <w:rPr>
          <w:rFonts w:ascii="Arial" w:hAnsi="Arial" w:cs="Arial"/>
          <w:sz w:val="24"/>
          <w:szCs w:val="24"/>
        </w:rPr>
        <w:t>with poor social backgroun</w:t>
      </w:r>
      <w:r w:rsidR="002878F4" w:rsidRPr="00AF652D">
        <w:rPr>
          <w:rFonts w:ascii="Arial" w:hAnsi="Arial" w:cs="Arial"/>
          <w:sz w:val="24"/>
          <w:szCs w:val="24"/>
        </w:rPr>
        <w:t>d</w:t>
      </w:r>
      <w:r w:rsidR="00AE420E" w:rsidRPr="00AF652D">
        <w:rPr>
          <w:rFonts w:ascii="Arial" w:hAnsi="Arial" w:cs="Arial"/>
          <w:sz w:val="24"/>
          <w:szCs w:val="24"/>
        </w:rPr>
        <w:t xml:space="preserve"> </w:t>
      </w:r>
      <w:r w:rsidRPr="00AF652D">
        <w:rPr>
          <w:rFonts w:ascii="Arial" w:hAnsi="Arial" w:cs="Arial"/>
          <w:sz w:val="24"/>
          <w:szCs w:val="24"/>
        </w:rPr>
        <w:t>(in particular: Roma</w:t>
      </w:r>
      <w:r w:rsidR="00AE420E" w:rsidRPr="00AF652D">
        <w:rPr>
          <w:rFonts w:ascii="Arial" w:hAnsi="Arial" w:cs="Arial"/>
          <w:sz w:val="24"/>
          <w:szCs w:val="24"/>
        </w:rPr>
        <w:t>’</w:t>
      </w:r>
      <w:r w:rsidRPr="00AF652D">
        <w:rPr>
          <w:rFonts w:ascii="Arial" w:hAnsi="Arial" w:cs="Arial"/>
          <w:sz w:val="24"/>
          <w:szCs w:val="24"/>
        </w:rPr>
        <w:t xml:space="preserve">s) </w:t>
      </w:r>
      <w:r w:rsidR="008B140A" w:rsidRPr="00AF652D">
        <w:rPr>
          <w:rFonts w:ascii="Arial" w:hAnsi="Arial" w:cs="Arial"/>
          <w:sz w:val="24"/>
          <w:szCs w:val="24"/>
        </w:rPr>
        <w:t xml:space="preserve">suffer severe disadvantages in terms of the perspectives of future employment. The </w:t>
      </w:r>
      <w:r w:rsidR="00F85EB8" w:rsidRPr="00AF652D">
        <w:rPr>
          <w:rFonts w:ascii="Arial" w:hAnsi="Arial" w:cs="Arial"/>
          <w:sz w:val="24"/>
          <w:szCs w:val="24"/>
        </w:rPr>
        <w:t xml:space="preserve">above cited </w:t>
      </w:r>
      <w:r w:rsidR="00B623CB" w:rsidRPr="00AF652D">
        <w:rPr>
          <w:rFonts w:ascii="Arial" w:hAnsi="Arial" w:cs="Arial"/>
          <w:sz w:val="24"/>
          <w:szCs w:val="24"/>
        </w:rPr>
        <w:t xml:space="preserve">Country Report </w:t>
      </w:r>
      <w:r w:rsidR="00F85EB8" w:rsidRPr="00AF652D">
        <w:rPr>
          <w:rFonts w:ascii="Arial" w:hAnsi="Arial" w:cs="Arial"/>
          <w:sz w:val="24"/>
          <w:szCs w:val="24"/>
        </w:rPr>
        <w:t>2016 summarize the situation and the o</w:t>
      </w:r>
      <w:r w:rsidR="006111FC" w:rsidRPr="00AF652D">
        <w:rPr>
          <w:rFonts w:ascii="Arial" w:hAnsi="Arial" w:cs="Arial"/>
          <w:sz w:val="24"/>
          <w:szCs w:val="24"/>
        </w:rPr>
        <w:t>n</w:t>
      </w:r>
      <w:r w:rsidR="00F85EB8" w:rsidRPr="00AF652D">
        <w:rPr>
          <w:rFonts w:ascii="Arial" w:hAnsi="Arial" w:cs="Arial"/>
          <w:sz w:val="24"/>
          <w:szCs w:val="24"/>
        </w:rPr>
        <w:t xml:space="preserve">going </w:t>
      </w:r>
      <w:r w:rsidR="00C27477" w:rsidRPr="00AF652D">
        <w:rPr>
          <w:rFonts w:ascii="Arial" w:hAnsi="Arial" w:cs="Arial"/>
          <w:sz w:val="24"/>
          <w:szCs w:val="24"/>
        </w:rPr>
        <w:t>activity</w:t>
      </w:r>
      <w:r w:rsidR="00AE420E" w:rsidRPr="00AF652D">
        <w:rPr>
          <w:rFonts w:ascii="Arial" w:hAnsi="Arial" w:cs="Arial"/>
          <w:sz w:val="24"/>
          <w:szCs w:val="24"/>
        </w:rPr>
        <w:t xml:space="preserve"> </w:t>
      </w:r>
      <w:r w:rsidR="00C27477" w:rsidRPr="00AF652D">
        <w:rPr>
          <w:rFonts w:ascii="Arial" w:hAnsi="Arial" w:cs="Arial"/>
          <w:sz w:val="24"/>
          <w:szCs w:val="24"/>
        </w:rPr>
        <w:t>of the Hungarian government in this field</w:t>
      </w:r>
      <w:r w:rsidR="00A66B91" w:rsidRPr="00AF652D">
        <w:rPr>
          <w:rFonts w:ascii="Arial" w:hAnsi="Arial" w:cs="Arial"/>
          <w:sz w:val="24"/>
          <w:szCs w:val="24"/>
        </w:rPr>
        <w:t>, including the vocational training reform referred under section 1.1.,</w:t>
      </w:r>
      <w:r w:rsidR="00C27477" w:rsidRPr="00AF652D">
        <w:rPr>
          <w:rFonts w:ascii="Arial" w:hAnsi="Arial" w:cs="Arial"/>
          <w:sz w:val="24"/>
          <w:szCs w:val="24"/>
        </w:rPr>
        <w:t xml:space="preserve"> as follows.</w:t>
      </w:r>
    </w:p>
    <w:p w:rsidR="00397BAB" w:rsidRPr="00AF652D" w:rsidRDefault="00397BAB" w:rsidP="00AB2326">
      <w:pPr>
        <w:tabs>
          <w:tab w:val="left" w:pos="2694"/>
        </w:tabs>
        <w:spacing w:after="0" w:line="240" w:lineRule="auto"/>
        <w:jc w:val="both"/>
        <w:rPr>
          <w:rFonts w:ascii="Arial" w:hAnsi="Arial" w:cs="Arial"/>
          <w:sz w:val="24"/>
          <w:szCs w:val="24"/>
        </w:rPr>
      </w:pPr>
    </w:p>
    <w:p w:rsidR="00B0592A" w:rsidRPr="00AF652D" w:rsidRDefault="009A1FFE"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w:t>
      </w:r>
      <w:r w:rsidR="00B0592A" w:rsidRPr="00AF652D">
        <w:rPr>
          <w:rFonts w:ascii="Arial" w:hAnsi="Arial" w:cs="Arial"/>
          <w:sz w:val="24"/>
          <w:szCs w:val="24"/>
        </w:rPr>
        <w:t xml:space="preserve">The government's new concept paper of March 2015 on initial vocational education and training aims at further increasing the number of students graduating in vocational education and improving dual education. </w:t>
      </w:r>
      <w:r w:rsidR="00E3741F" w:rsidRPr="00AF652D">
        <w:rPr>
          <w:rFonts w:ascii="Arial" w:hAnsi="Arial" w:cs="Arial"/>
          <w:sz w:val="24"/>
          <w:szCs w:val="24"/>
        </w:rPr>
        <w:t>[…]</w:t>
      </w:r>
      <w:r w:rsidR="00B0592A" w:rsidRPr="00AF652D">
        <w:rPr>
          <w:rFonts w:ascii="Arial" w:hAnsi="Arial" w:cs="Arial"/>
          <w:sz w:val="24"/>
          <w:szCs w:val="24"/>
        </w:rPr>
        <w:t xml:space="preserve"> The general knowledge content of the upper secondary vocational schools </w:t>
      </w:r>
      <w:proofErr w:type="gramStart"/>
      <w:r w:rsidR="00B0592A" w:rsidRPr="00AF652D">
        <w:rPr>
          <w:rFonts w:ascii="Arial" w:hAnsi="Arial" w:cs="Arial"/>
          <w:sz w:val="24"/>
          <w:szCs w:val="24"/>
        </w:rPr>
        <w:t>are</w:t>
      </w:r>
      <w:proofErr w:type="gramEnd"/>
      <w:r w:rsidR="00B0592A" w:rsidRPr="00AF652D">
        <w:rPr>
          <w:rFonts w:ascii="Arial" w:hAnsi="Arial" w:cs="Arial"/>
          <w:sz w:val="24"/>
          <w:szCs w:val="24"/>
        </w:rPr>
        <w:t xml:space="preserve"> planned to be reduced and professional content strengthened, which may hinder access to tertiary education. In 2013/2014 only 22% of students in special vocational schools and 9% of students in postsecondary VET schools participated in apprenticeship schemes. The number of apprentices has increased significantly, but according to the Hungarian Chamber of Commerce the number of students undergoing work-based training at firms did not increase between 2010 and 2014. Companies’ willingness to provide training is increasing only slowly despite financial and organisational incentives. There is a lack of qualified employees willing to train students. </w:t>
      </w:r>
      <w:r w:rsidR="00E3741F" w:rsidRPr="00AF652D">
        <w:rPr>
          <w:rFonts w:ascii="Arial" w:hAnsi="Arial" w:cs="Arial"/>
          <w:sz w:val="24"/>
          <w:szCs w:val="24"/>
        </w:rPr>
        <w:t>[…]</w:t>
      </w:r>
      <w:r w:rsidR="00B0592A" w:rsidRPr="00AF652D">
        <w:rPr>
          <w:rFonts w:ascii="Arial" w:hAnsi="Arial" w:cs="Arial"/>
          <w:sz w:val="24"/>
          <w:szCs w:val="24"/>
        </w:rPr>
        <w:t>”</w:t>
      </w:r>
      <w:r w:rsidR="008A3B96" w:rsidRPr="00AF652D">
        <w:rPr>
          <w:rStyle w:val="FootnoteReference"/>
          <w:rFonts w:ascii="Arial" w:hAnsi="Arial" w:cs="Arial"/>
          <w:sz w:val="24"/>
          <w:szCs w:val="24"/>
        </w:rPr>
        <w:footnoteReference w:id="33"/>
      </w:r>
    </w:p>
    <w:p w:rsidR="00B0592A" w:rsidRPr="00AF652D" w:rsidRDefault="00B0592A" w:rsidP="00AB2326">
      <w:pPr>
        <w:tabs>
          <w:tab w:val="left" w:pos="2694"/>
        </w:tabs>
        <w:spacing w:after="0" w:line="240" w:lineRule="auto"/>
        <w:rPr>
          <w:rFonts w:ascii="Arial" w:hAnsi="Arial" w:cs="Arial"/>
          <w:sz w:val="24"/>
          <w:szCs w:val="24"/>
        </w:rPr>
      </w:pPr>
    </w:p>
    <w:p w:rsidR="00B0592A" w:rsidRPr="00AF652D" w:rsidRDefault="00B0592A"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“Current admission measures can narrow access to higher education and limit the pool of future innovators and researchers. </w:t>
      </w:r>
      <w:r w:rsidR="005F629E" w:rsidRPr="00AF652D">
        <w:rPr>
          <w:rFonts w:ascii="Arial" w:hAnsi="Arial" w:cs="Arial"/>
          <w:sz w:val="24"/>
          <w:szCs w:val="24"/>
        </w:rPr>
        <w:t xml:space="preserve">[…] </w:t>
      </w:r>
      <w:r w:rsidRPr="00AF652D">
        <w:rPr>
          <w:rFonts w:ascii="Arial" w:hAnsi="Arial" w:cs="Arial"/>
          <w:sz w:val="24"/>
          <w:szCs w:val="24"/>
        </w:rPr>
        <w:t>The higher education strategy has been approved and an action plan adopted. The strategy aims to achieve a 35% tertiary attainment rate by 2023. At the same time, national studies suggest that the annually increasing admission requirements to higher education risk further narrowing the chances of upper secondary vocational graduates and disadvantaged pupils to access higher education.”</w:t>
      </w:r>
      <w:r w:rsidR="00157A0B" w:rsidRPr="00AF652D">
        <w:rPr>
          <w:rStyle w:val="FootnoteReference"/>
          <w:rFonts w:ascii="Arial" w:hAnsi="Arial" w:cs="Arial"/>
          <w:sz w:val="24"/>
          <w:szCs w:val="24"/>
        </w:rPr>
        <w:footnoteReference w:id="34"/>
      </w:r>
    </w:p>
    <w:p w:rsidR="00316658" w:rsidRPr="00AF652D" w:rsidRDefault="00316658" w:rsidP="00AB2326">
      <w:pPr>
        <w:tabs>
          <w:tab w:val="left" w:pos="2694"/>
        </w:tabs>
        <w:spacing w:after="0" w:line="240" w:lineRule="auto"/>
        <w:rPr>
          <w:rFonts w:ascii="Arial" w:hAnsi="Arial" w:cs="Arial"/>
          <w:sz w:val="24"/>
          <w:szCs w:val="24"/>
        </w:rPr>
      </w:pPr>
    </w:p>
    <w:p w:rsidR="00397BAB" w:rsidRPr="00AF652D" w:rsidRDefault="009A1FFE"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Further major elements of the reform </w:t>
      </w:r>
      <w:r w:rsidR="00194867" w:rsidRPr="00AF652D">
        <w:rPr>
          <w:rFonts w:ascii="Arial" w:hAnsi="Arial" w:cs="Arial"/>
          <w:sz w:val="24"/>
          <w:szCs w:val="24"/>
        </w:rPr>
        <w:t>have been described at section</w:t>
      </w:r>
      <w:r w:rsidR="00837E8C" w:rsidRPr="00AF652D">
        <w:rPr>
          <w:rFonts w:ascii="Arial" w:hAnsi="Arial" w:cs="Arial"/>
          <w:sz w:val="24"/>
          <w:szCs w:val="24"/>
        </w:rPr>
        <w:t xml:space="preserve"> 1.</w:t>
      </w:r>
      <w:r w:rsidR="008755BA" w:rsidRPr="00AF652D">
        <w:rPr>
          <w:rFonts w:ascii="Arial" w:hAnsi="Arial" w:cs="Arial"/>
          <w:sz w:val="24"/>
          <w:szCs w:val="24"/>
        </w:rPr>
        <w:t xml:space="preserve"> </w:t>
      </w:r>
      <w:r w:rsidR="00946EC2" w:rsidRPr="00AF652D">
        <w:rPr>
          <w:rFonts w:ascii="Arial" w:hAnsi="Arial" w:cs="Arial"/>
          <w:sz w:val="24"/>
          <w:szCs w:val="24"/>
        </w:rPr>
        <w:t xml:space="preserve">As referred above, the practical impacts of the reform cannot be </w:t>
      </w:r>
      <w:r w:rsidR="00194867" w:rsidRPr="00AF652D">
        <w:rPr>
          <w:rFonts w:ascii="Arial" w:hAnsi="Arial" w:cs="Arial"/>
          <w:sz w:val="24"/>
          <w:szCs w:val="24"/>
        </w:rPr>
        <w:t>measured yet.</w:t>
      </w:r>
    </w:p>
    <w:p w:rsidR="009A1FFE" w:rsidRPr="00AF652D" w:rsidRDefault="009A1FFE"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lastRenderedPageBreak/>
        <w:t>Example of good practice to achieve Youth Guarantee objectives</w:t>
      </w:r>
    </w:p>
    <w:p w:rsidR="00020C3C" w:rsidRPr="00AF652D" w:rsidRDefault="00020C3C" w:rsidP="00AB2326">
      <w:pPr>
        <w:tabs>
          <w:tab w:val="left" w:pos="2694"/>
        </w:tabs>
        <w:spacing w:after="0" w:line="240" w:lineRule="auto"/>
        <w:rPr>
          <w:rFonts w:ascii="Arial" w:hAnsi="Arial" w:cs="Arial"/>
          <w:sz w:val="24"/>
          <w:szCs w:val="24"/>
        </w:rPr>
      </w:pPr>
    </w:p>
    <w:p w:rsidR="003538CE" w:rsidRPr="00AF652D" w:rsidRDefault="003538CE" w:rsidP="00AB2326">
      <w:pPr>
        <w:tabs>
          <w:tab w:val="left" w:pos="2694"/>
        </w:tabs>
        <w:spacing w:after="0" w:line="240" w:lineRule="auto"/>
        <w:rPr>
          <w:rFonts w:ascii="Arial" w:hAnsi="Arial" w:cs="Arial"/>
          <w:i/>
          <w:sz w:val="24"/>
          <w:szCs w:val="24"/>
        </w:rPr>
      </w:pPr>
      <w:r w:rsidRPr="00AF652D">
        <w:rPr>
          <w:rFonts w:ascii="Arial" w:hAnsi="Arial" w:cs="Arial"/>
          <w:i/>
          <w:sz w:val="24"/>
          <w:szCs w:val="24"/>
        </w:rPr>
        <w:t>Can you identify an example of promising policy/practice in your country that might help other countries to achieve the goals of the Youth Guarantee for young disabled persons?</w:t>
      </w:r>
    </w:p>
    <w:p w:rsidR="003538CE" w:rsidRPr="00AF652D" w:rsidRDefault="003538CE" w:rsidP="00AB2326">
      <w:pPr>
        <w:pStyle w:val="ListParagraph"/>
        <w:numPr>
          <w:ilvl w:val="0"/>
          <w:numId w:val="2"/>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i.e. a policy or practice that might ensure </w:t>
      </w:r>
      <w:proofErr w:type="gramStart"/>
      <w:r w:rsidRPr="00AF652D">
        <w:rPr>
          <w:rFonts w:ascii="Arial" w:hAnsi="Arial" w:cs="Arial"/>
          <w:i/>
          <w:sz w:val="24"/>
          <w:szCs w:val="24"/>
        </w:rPr>
        <w:t>more young</w:t>
      </w:r>
      <w:proofErr w:type="gramEnd"/>
      <w:r w:rsidRPr="00AF652D">
        <w:rPr>
          <w:rFonts w:ascii="Arial" w:hAnsi="Arial" w:cs="Arial"/>
          <w:i/>
          <w:sz w:val="24"/>
          <w:szCs w:val="24"/>
        </w:rPr>
        <w:t xml:space="preserve"> disabled people receive a good-quality offer of employment, a continued education, or an apprenticeship or a traineeship.</w:t>
      </w:r>
    </w:p>
    <w:p w:rsidR="00020C3C" w:rsidRPr="00AF652D" w:rsidRDefault="00020C3C" w:rsidP="00AB2326">
      <w:pPr>
        <w:tabs>
          <w:tab w:val="left" w:pos="2694"/>
        </w:tabs>
        <w:spacing w:after="0" w:line="240" w:lineRule="auto"/>
        <w:rPr>
          <w:rFonts w:ascii="Arial" w:hAnsi="Arial" w:cs="Arial"/>
          <w:sz w:val="24"/>
          <w:szCs w:val="24"/>
        </w:rPr>
      </w:pPr>
    </w:p>
    <w:p w:rsidR="00135F91" w:rsidRPr="00AF652D" w:rsidRDefault="00DF5A69"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The central Hungarian website of YG (</w:t>
      </w:r>
      <w:hyperlink r:id="rId9" w:history="1">
        <w:r w:rsidRPr="00AF652D">
          <w:rPr>
            <w:rStyle w:val="Hyperlink"/>
            <w:rFonts w:cs="Arial"/>
            <w:sz w:val="24"/>
            <w:szCs w:val="24"/>
          </w:rPr>
          <w:t>www.ifjusagigarancia.hu</w:t>
        </w:r>
      </w:hyperlink>
      <w:r w:rsidR="00157A0B" w:rsidRPr="00AF652D">
        <w:rPr>
          <w:rFonts w:ascii="Arial" w:hAnsi="Arial" w:cs="Arial"/>
          <w:sz w:val="24"/>
          <w:szCs w:val="24"/>
        </w:rPr>
        <w:t>)</w:t>
      </w:r>
      <w:r w:rsidRPr="00AF652D">
        <w:rPr>
          <w:rFonts w:ascii="Arial" w:hAnsi="Arial" w:cs="Arial"/>
          <w:sz w:val="24"/>
          <w:szCs w:val="24"/>
        </w:rPr>
        <w:t xml:space="preserve"> reports </w:t>
      </w:r>
      <w:r w:rsidR="00A20BFC" w:rsidRPr="00AF652D">
        <w:rPr>
          <w:rFonts w:ascii="Arial" w:hAnsi="Arial" w:cs="Arial"/>
          <w:sz w:val="24"/>
          <w:szCs w:val="24"/>
        </w:rPr>
        <w:t xml:space="preserve">on </w:t>
      </w:r>
      <w:r w:rsidR="00A30A43" w:rsidRPr="00AF652D">
        <w:rPr>
          <w:rFonts w:ascii="Arial" w:hAnsi="Arial" w:cs="Arial"/>
          <w:sz w:val="24"/>
          <w:szCs w:val="24"/>
        </w:rPr>
        <w:t xml:space="preserve">an already completed </w:t>
      </w:r>
      <w:r w:rsidR="00D1267B" w:rsidRPr="00AF652D">
        <w:rPr>
          <w:rFonts w:ascii="Arial" w:hAnsi="Arial" w:cs="Arial"/>
          <w:sz w:val="24"/>
          <w:szCs w:val="24"/>
        </w:rPr>
        <w:t xml:space="preserve">project helping young people to start their own enterprise. </w:t>
      </w:r>
      <w:r w:rsidR="00545431" w:rsidRPr="00AF652D">
        <w:rPr>
          <w:rFonts w:ascii="Arial" w:hAnsi="Arial" w:cs="Arial"/>
          <w:sz w:val="24"/>
          <w:szCs w:val="24"/>
        </w:rPr>
        <w:t>347 o</w:t>
      </w:r>
      <w:r w:rsidR="00D1267B" w:rsidRPr="00AF652D">
        <w:rPr>
          <w:rFonts w:ascii="Arial" w:hAnsi="Arial" w:cs="Arial"/>
          <w:sz w:val="24"/>
          <w:szCs w:val="24"/>
        </w:rPr>
        <w:t xml:space="preserve">ut of the </w:t>
      </w:r>
      <w:r w:rsidR="00545431" w:rsidRPr="00AF652D">
        <w:rPr>
          <w:rFonts w:ascii="Arial" w:hAnsi="Arial" w:cs="Arial"/>
          <w:sz w:val="24"/>
          <w:szCs w:val="24"/>
        </w:rPr>
        <w:t>3500 applicants were admitted to a specific training programme, and about 200 start</w:t>
      </w:r>
      <w:r w:rsidR="001E03D3" w:rsidRPr="00AF652D">
        <w:rPr>
          <w:rFonts w:ascii="Arial" w:hAnsi="Arial" w:cs="Arial"/>
          <w:sz w:val="24"/>
          <w:szCs w:val="24"/>
        </w:rPr>
        <w:t xml:space="preserve">-ups have been granted subsidies in the Central Hungary region. The programme is continued (“Enterprise in Hungary, youth!”), with a capacity to fund the participation of 500 applicants in </w:t>
      </w:r>
      <w:r w:rsidR="00135F91" w:rsidRPr="00AF652D">
        <w:rPr>
          <w:rFonts w:ascii="Arial" w:hAnsi="Arial" w:cs="Arial"/>
          <w:sz w:val="24"/>
          <w:szCs w:val="24"/>
        </w:rPr>
        <w:t xml:space="preserve">training programmes and support 330 applicants to </w:t>
      </w:r>
      <w:proofErr w:type="gramStart"/>
      <w:r w:rsidR="00135F91" w:rsidRPr="00AF652D">
        <w:rPr>
          <w:rFonts w:ascii="Arial" w:hAnsi="Arial" w:cs="Arial"/>
          <w:sz w:val="24"/>
          <w:szCs w:val="24"/>
        </w:rPr>
        <w:t>found</w:t>
      </w:r>
      <w:proofErr w:type="gramEnd"/>
      <w:r w:rsidR="00135F91" w:rsidRPr="00AF652D">
        <w:rPr>
          <w:rFonts w:ascii="Arial" w:hAnsi="Arial" w:cs="Arial"/>
          <w:sz w:val="24"/>
          <w:szCs w:val="24"/>
        </w:rPr>
        <w:t xml:space="preserve"> their own enterprise.</w:t>
      </w:r>
      <w:r w:rsidR="00A20BFC" w:rsidRPr="00AF652D">
        <w:rPr>
          <w:rStyle w:val="FootnoteReference"/>
          <w:rFonts w:ascii="Arial" w:hAnsi="Arial" w:cs="Arial"/>
          <w:sz w:val="24"/>
          <w:szCs w:val="24"/>
        </w:rPr>
        <w:footnoteReference w:id="35"/>
      </w:r>
      <w:r w:rsidR="002E758A" w:rsidRPr="00AF652D">
        <w:rPr>
          <w:rFonts w:ascii="Arial" w:hAnsi="Arial" w:cs="Arial"/>
          <w:sz w:val="24"/>
          <w:szCs w:val="24"/>
        </w:rPr>
        <w:t xml:space="preserve"> This initiative is not specially targeted to young persons with disabilities, </w:t>
      </w:r>
      <w:r w:rsidR="006D51AD" w:rsidRPr="00AF652D">
        <w:rPr>
          <w:rFonts w:ascii="Arial" w:hAnsi="Arial" w:cs="Arial"/>
          <w:sz w:val="24"/>
          <w:szCs w:val="24"/>
        </w:rPr>
        <w:t xml:space="preserve">however it may provide them assistance to start enterprises as well. </w:t>
      </w:r>
      <w:r w:rsidR="00135F91" w:rsidRPr="00AF652D">
        <w:rPr>
          <w:rFonts w:ascii="Arial" w:hAnsi="Arial" w:cs="Arial"/>
          <w:sz w:val="24"/>
          <w:szCs w:val="24"/>
        </w:rPr>
        <w:t xml:space="preserve">No </w:t>
      </w:r>
      <w:r w:rsidR="00B940F9" w:rsidRPr="00AF652D">
        <w:rPr>
          <w:rFonts w:ascii="Arial" w:hAnsi="Arial" w:cs="Arial"/>
          <w:sz w:val="24"/>
          <w:szCs w:val="24"/>
        </w:rPr>
        <w:t xml:space="preserve">data is available on the number of the young persons with disabilities among the winners. </w:t>
      </w:r>
    </w:p>
    <w:p w:rsidR="00B940F9" w:rsidRPr="00AF652D" w:rsidRDefault="00B940F9" w:rsidP="00AB2326">
      <w:pPr>
        <w:tabs>
          <w:tab w:val="left" w:pos="2694"/>
        </w:tabs>
        <w:spacing w:after="0" w:line="240" w:lineRule="auto"/>
        <w:rPr>
          <w:rFonts w:ascii="Arial" w:hAnsi="Arial" w:cs="Arial"/>
          <w:sz w:val="24"/>
          <w:szCs w:val="24"/>
        </w:rPr>
      </w:pPr>
    </w:p>
    <w:p w:rsidR="00397BAB" w:rsidRPr="00AF652D" w:rsidRDefault="0075162E" w:rsidP="00AB2326">
      <w:pPr>
        <w:tabs>
          <w:tab w:val="left" w:pos="2694"/>
        </w:tabs>
        <w:spacing w:after="0" w:line="240" w:lineRule="auto"/>
        <w:jc w:val="both"/>
        <w:rPr>
          <w:rFonts w:ascii="Arial" w:eastAsia="Times New Roman" w:hAnsi="Arial" w:cs="Arial"/>
          <w:color w:val="2A2A2A"/>
          <w:sz w:val="24"/>
          <w:szCs w:val="24"/>
          <w:lang w:eastAsia="hu-HU"/>
        </w:rPr>
      </w:pPr>
      <w:r w:rsidRPr="00AF652D">
        <w:rPr>
          <w:rFonts w:ascii="Arial" w:hAnsi="Arial" w:cs="Arial"/>
          <w:sz w:val="24"/>
          <w:szCs w:val="24"/>
        </w:rPr>
        <w:t xml:space="preserve">Some NGOs implement vocational training programmes for adults with disabilities. A good practice has been developed by the </w:t>
      </w:r>
      <w:r w:rsidR="00946CA1" w:rsidRPr="00AF652D">
        <w:rPr>
          <w:rFonts w:ascii="Arial" w:hAnsi="Arial" w:cs="Arial"/>
          <w:sz w:val="24"/>
          <w:szCs w:val="24"/>
        </w:rPr>
        <w:t xml:space="preserve">“Hand-in-Hand Foundation”. The </w:t>
      </w:r>
      <w:r w:rsidR="00813F22" w:rsidRPr="00AF652D">
        <w:rPr>
          <w:rFonts w:ascii="Arial" w:hAnsi="Arial" w:cs="Arial"/>
          <w:sz w:val="24"/>
          <w:szCs w:val="24"/>
        </w:rPr>
        <w:t xml:space="preserve">“Active Workshop </w:t>
      </w:r>
      <w:r w:rsidR="007E0E9F" w:rsidRPr="00AF652D">
        <w:rPr>
          <w:rFonts w:ascii="Arial" w:hAnsi="Arial" w:cs="Arial"/>
          <w:sz w:val="24"/>
          <w:szCs w:val="24"/>
        </w:rPr>
        <w:t xml:space="preserve">Toolkit </w:t>
      </w:r>
      <w:r w:rsidR="00EA2D96" w:rsidRPr="00AF652D">
        <w:rPr>
          <w:rFonts w:ascii="Arial" w:hAnsi="Arial" w:cs="Arial"/>
          <w:sz w:val="24"/>
          <w:szCs w:val="24"/>
        </w:rPr>
        <w:t>for Develop Employment</w:t>
      </w:r>
      <w:r w:rsidR="00813F22" w:rsidRPr="00AF652D">
        <w:rPr>
          <w:rFonts w:ascii="Arial" w:hAnsi="Arial" w:cs="Arial"/>
          <w:sz w:val="24"/>
          <w:szCs w:val="24"/>
        </w:rPr>
        <w:t xml:space="preserve">” offers different vocational training programmes </w:t>
      </w:r>
      <w:r w:rsidR="007E0E9F" w:rsidRPr="00AF652D">
        <w:rPr>
          <w:rFonts w:ascii="Arial" w:hAnsi="Arial" w:cs="Arial"/>
          <w:sz w:val="24"/>
          <w:szCs w:val="24"/>
        </w:rPr>
        <w:t>designed to accommodate the special needs and hindrances of persons with disabilities</w:t>
      </w:r>
      <w:r w:rsidR="008A2BDA" w:rsidRPr="00AF652D">
        <w:rPr>
          <w:rFonts w:ascii="Arial" w:hAnsi="Arial" w:cs="Arial"/>
          <w:sz w:val="24"/>
          <w:szCs w:val="24"/>
        </w:rPr>
        <w:t xml:space="preserve">, including the organisation of pre-work trainings, </w:t>
      </w:r>
      <w:r w:rsidR="00D34193" w:rsidRPr="00AF652D">
        <w:rPr>
          <w:rFonts w:ascii="Arial" w:eastAsia="Times New Roman" w:hAnsi="Arial" w:cs="Arial"/>
          <w:color w:val="2A2A2A"/>
          <w:sz w:val="24"/>
          <w:szCs w:val="24"/>
          <w:lang w:eastAsia="hu-HU"/>
        </w:rPr>
        <w:t>transit-type, 6 months long employment and escorting the clients after the emplacement</w:t>
      </w:r>
      <w:r w:rsidR="007E0E9F" w:rsidRPr="00AF652D">
        <w:rPr>
          <w:rFonts w:ascii="Arial" w:hAnsi="Arial" w:cs="Arial"/>
          <w:sz w:val="24"/>
          <w:szCs w:val="24"/>
        </w:rPr>
        <w:t>.</w:t>
      </w:r>
      <w:r w:rsidR="00EA2D96" w:rsidRPr="00AF652D">
        <w:rPr>
          <w:rFonts w:ascii="Arial" w:hAnsi="Arial" w:cs="Arial"/>
          <w:sz w:val="24"/>
          <w:szCs w:val="24"/>
        </w:rPr>
        <w:t xml:space="preserve"> The foundation also provides special services and methodolo</w:t>
      </w:r>
      <w:r w:rsidR="00AF652D">
        <w:rPr>
          <w:rFonts w:ascii="Arial" w:hAnsi="Arial" w:cs="Arial"/>
          <w:sz w:val="24"/>
          <w:szCs w:val="24"/>
        </w:rPr>
        <w:t>g</w:t>
      </w:r>
      <w:r w:rsidR="00EA2D96" w:rsidRPr="00AF652D">
        <w:rPr>
          <w:rFonts w:ascii="Arial" w:hAnsi="Arial" w:cs="Arial"/>
          <w:sz w:val="24"/>
          <w:szCs w:val="24"/>
        </w:rPr>
        <w:t xml:space="preserve">ies for </w:t>
      </w:r>
      <w:r w:rsidR="00EF3D2A" w:rsidRPr="00AF652D">
        <w:rPr>
          <w:rFonts w:ascii="Arial" w:hAnsi="Arial" w:cs="Arial"/>
          <w:sz w:val="24"/>
          <w:szCs w:val="24"/>
        </w:rPr>
        <w:t xml:space="preserve">enterprises </w:t>
      </w:r>
      <w:proofErr w:type="gramStart"/>
      <w:r w:rsidR="00EF3D2A" w:rsidRPr="00AF652D">
        <w:rPr>
          <w:rFonts w:ascii="Arial" w:hAnsi="Arial" w:cs="Arial"/>
          <w:sz w:val="24"/>
          <w:szCs w:val="24"/>
        </w:rPr>
        <w:t>in order to</w:t>
      </w:r>
      <w:proofErr w:type="gramEnd"/>
      <w:r w:rsidR="00EF3D2A" w:rsidRPr="00AF652D">
        <w:rPr>
          <w:rFonts w:ascii="Arial" w:hAnsi="Arial" w:cs="Arial"/>
          <w:sz w:val="24"/>
          <w:szCs w:val="24"/>
        </w:rPr>
        <w:t xml:space="preserve"> enable them to </w:t>
      </w:r>
      <w:r w:rsidR="006D0A48" w:rsidRPr="00AF652D">
        <w:rPr>
          <w:rFonts w:ascii="Arial" w:hAnsi="Arial" w:cs="Arial"/>
          <w:sz w:val="24"/>
          <w:szCs w:val="24"/>
        </w:rPr>
        <w:t>hire persons with disabilities</w:t>
      </w:r>
      <w:r w:rsidR="00EF3D2A" w:rsidRPr="00AF652D">
        <w:rPr>
          <w:rFonts w:ascii="Arial" w:hAnsi="Arial" w:cs="Arial"/>
          <w:sz w:val="24"/>
          <w:szCs w:val="24"/>
        </w:rPr>
        <w:t xml:space="preserve">, such as </w:t>
      </w:r>
      <w:r w:rsidR="00FB77C3" w:rsidRPr="00AF652D">
        <w:rPr>
          <w:rFonts w:ascii="Arial" w:hAnsi="Arial" w:cs="Arial"/>
          <w:sz w:val="24"/>
          <w:szCs w:val="24"/>
        </w:rPr>
        <w:t xml:space="preserve">offering </w:t>
      </w:r>
      <w:proofErr w:type="spellStart"/>
      <w:r w:rsidR="00EF3D2A" w:rsidRPr="00AF652D">
        <w:rPr>
          <w:rFonts w:ascii="Arial" w:hAnsi="Arial" w:cs="Arial"/>
          <w:sz w:val="24"/>
          <w:szCs w:val="24"/>
        </w:rPr>
        <w:t>sensibilisation</w:t>
      </w:r>
      <w:proofErr w:type="spellEnd"/>
      <w:r w:rsidR="00EF3D2A" w:rsidRPr="00AF652D">
        <w:rPr>
          <w:rFonts w:ascii="Arial" w:hAnsi="Arial" w:cs="Arial"/>
          <w:sz w:val="24"/>
          <w:szCs w:val="24"/>
        </w:rPr>
        <w:t xml:space="preserve"> trainings, organisational development programmes, </w:t>
      </w:r>
      <w:r w:rsidR="006D0A48" w:rsidRPr="00AF652D">
        <w:rPr>
          <w:rFonts w:ascii="Arial" w:hAnsi="Arial" w:cs="Arial"/>
          <w:sz w:val="24"/>
          <w:szCs w:val="24"/>
        </w:rPr>
        <w:t xml:space="preserve">giving marketing and </w:t>
      </w:r>
      <w:r w:rsidR="00EF3D2A" w:rsidRPr="00AF652D">
        <w:rPr>
          <w:rFonts w:ascii="Arial" w:hAnsi="Arial" w:cs="Arial"/>
          <w:sz w:val="24"/>
          <w:szCs w:val="24"/>
        </w:rPr>
        <w:t>business advice</w:t>
      </w:r>
      <w:r w:rsidR="006D0A48" w:rsidRPr="00AF652D">
        <w:rPr>
          <w:rFonts w:ascii="Arial" w:hAnsi="Arial" w:cs="Arial"/>
          <w:sz w:val="24"/>
          <w:szCs w:val="24"/>
        </w:rPr>
        <w:t>s</w:t>
      </w:r>
      <w:r w:rsidR="00EA2D96" w:rsidRPr="00AF652D">
        <w:rPr>
          <w:rFonts w:ascii="Arial" w:hAnsi="Arial" w:cs="Arial"/>
          <w:sz w:val="24"/>
          <w:szCs w:val="24"/>
        </w:rPr>
        <w:t>.</w:t>
      </w:r>
      <w:r w:rsidR="00B1342C" w:rsidRPr="00AF652D">
        <w:rPr>
          <w:rStyle w:val="FootnoteReference"/>
          <w:rFonts w:ascii="Arial" w:eastAsia="Times New Roman" w:hAnsi="Arial" w:cs="Arial"/>
          <w:color w:val="2A2A2A"/>
          <w:sz w:val="24"/>
          <w:szCs w:val="24"/>
          <w:lang w:eastAsia="hu-HU"/>
        </w:rPr>
        <w:footnoteReference w:id="36"/>
      </w:r>
    </w:p>
    <w:p w:rsidR="00EA2D96" w:rsidRPr="00AF652D" w:rsidRDefault="00EA2D96" w:rsidP="00AB2326">
      <w:pPr>
        <w:tabs>
          <w:tab w:val="left" w:pos="2694"/>
        </w:tabs>
        <w:spacing w:after="0" w:line="240" w:lineRule="auto"/>
        <w:rPr>
          <w:rFonts w:ascii="Arial" w:hAnsi="Arial" w:cs="Arial"/>
          <w:sz w:val="24"/>
          <w:szCs w:val="24"/>
        </w:rPr>
      </w:pPr>
    </w:p>
    <w:p w:rsidR="00AC09C4" w:rsidRPr="00AF652D" w:rsidRDefault="002816C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Another NGO, the </w:t>
      </w:r>
      <w:proofErr w:type="spellStart"/>
      <w:r w:rsidRPr="00AF652D">
        <w:rPr>
          <w:rFonts w:ascii="Arial" w:hAnsi="Arial" w:cs="Arial"/>
          <w:sz w:val="24"/>
          <w:szCs w:val="24"/>
        </w:rPr>
        <w:t>Salva</w:t>
      </w:r>
      <w:proofErr w:type="spellEnd"/>
      <w:r w:rsidRPr="00AF652D">
        <w:rPr>
          <w:rFonts w:ascii="Arial" w:hAnsi="Arial" w:cs="Arial"/>
          <w:sz w:val="24"/>
          <w:szCs w:val="24"/>
        </w:rPr>
        <w:t xml:space="preserve"> Vita Foundation was established in 1993 with the mission of contributing to the creation of social equality for people with intellectual disabilities and building a multicoloured, inclusive society.</w:t>
      </w:r>
      <w:r w:rsidR="00AC09C4" w:rsidRPr="00AF652D">
        <w:rPr>
          <w:rFonts w:ascii="Arial" w:hAnsi="Arial" w:cs="Arial"/>
          <w:sz w:val="24"/>
          <w:szCs w:val="24"/>
        </w:rPr>
        <w:t xml:space="preserve"> The </w:t>
      </w:r>
      <w:r w:rsidR="0020301E" w:rsidRPr="00AF652D">
        <w:rPr>
          <w:rFonts w:ascii="Arial" w:hAnsi="Arial" w:cs="Arial"/>
          <w:sz w:val="24"/>
          <w:szCs w:val="24"/>
        </w:rPr>
        <w:t xml:space="preserve">foundation provides multifaceted </w:t>
      </w:r>
      <w:r w:rsidR="00AC09C4" w:rsidRPr="00AF652D">
        <w:rPr>
          <w:rFonts w:ascii="Arial" w:hAnsi="Arial" w:cs="Arial"/>
          <w:sz w:val="24"/>
          <w:szCs w:val="24"/>
        </w:rPr>
        <w:t xml:space="preserve">services </w:t>
      </w:r>
      <w:r w:rsidR="0020301E" w:rsidRPr="00AF652D">
        <w:rPr>
          <w:rFonts w:ascii="Arial" w:hAnsi="Arial" w:cs="Arial"/>
          <w:sz w:val="24"/>
          <w:szCs w:val="24"/>
        </w:rPr>
        <w:t xml:space="preserve">assisting the employment of persons with intellectual disabilities in the integrated labour market. These services include different forms of work experience </w:t>
      </w:r>
      <w:r w:rsidR="00AD5B11" w:rsidRPr="00AF652D">
        <w:rPr>
          <w:rFonts w:ascii="Arial" w:hAnsi="Arial" w:cs="Arial"/>
          <w:sz w:val="24"/>
          <w:szCs w:val="24"/>
        </w:rPr>
        <w:t xml:space="preserve">and workplace training </w:t>
      </w:r>
      <w:r w:rsidR="0020301E" w:rsidRPr="00AF652D">
        <w:rPr>
          <w:rFonts w:ascii="Arial" w:hAnsi="Arial" w:cs="Arial"/>
          <w:sz w:val="24"/>
          <w:szCs w:val="24"/>
        </w:rPr>
        <w:t>programmes</w:t>
      </w:r>
      <w:r w:rsidR="00AD5B11" w:rsidRPr="00AF652D">
        <w:rPr>
          <w:rFonts w:ascii="Arial" w:hAnsi="Arial" w:cs="Arial"/>
          <w:sz w:val="24"/>
          <w:szCs w:val="24"/>
        </w:rPr>
        <w:t xml:space="preserve"> for students of special vocational schools and inactive adults with intellectual disabilities</w:t>
      </w:r>
      <w:r w:rsidR="00BD0670" w:rsidRPr="00AF652D">
        <w:rPr>
          <w:rFonts w:ascii="Arial" w:hAnsi="Arial" w:cs="Arial"/>
          <w:sz w:val="24"/>
          <w:szCs w:val="24"/>
        </w:rPr>
        <w:t xml:space="preserve"> living in families</w:t>
      </w:r>
      <w:r w:rsidR="005A1412" w:rsidRPr="00AF652D">
        <w:rPr>
          <w:rFonts w:ascii="Arial" w:hAnsi="Arial" w:cs="Arial"/>
          <w:sz w:val="24"/>
          <w:szCs w:val="24"/>
        </w:rPr>
        <w:t xml:space="preserve"> or i</w:t>
      </w:r>
      <w:r w:rsidR="00E33DDB" w:rsidRPr="00AF652D">
        <w:rPr>
          <w:rFonts w:ascii="Arial" w:hAnsi="Arial" w:cs="Arial"/>
          <w:sz w:val="24"/>
          <w:szCs w:val="24"/>
        </w:rPr>
        <w:t>n institutions.</w:t>
      </w:r>
      <w:r w:rsidR="00AE420E" w:rsidRPr="00AF652D">
        <w:rPr>
          <w:rFonts w:ascii="Arial" w:hAnsi="Arial" w:cs="Arial"/>
          <w:sz w:val="24"/>
          <w:szCs w:val="24"/>
        </w:rPr>
        <w:t xml:space="preserve"> </w:t>
      </w:r>
      <w:r w:rsidR="00E33DDB" w:rsidRPr="00AF652D">
        <w:rPr>
          <w:rFonts w:ascii="Arial" w:hAnsi="Arial" w:cs="Arial"/>
          <w:sz w:val="24"/>
          <w:szCs w:val="24"/>
        </w:rPr>
        <w:t>F</w:t>
      </w:r>
      <w:r w:rsidR="005A1412" w:rsidRPr="00AF652D">
        <w:rPr>
          <w:rFonts w:ascii="Arial" w:hAnsi="Arial" w:cs="Arial"/>
          <w:sz w:val="24"/>
          <w:szCs w:val="24"/>
        </w:rPr>
        <w:t xml:space="preserve">urther they offer services also for employers or potential employers </w:t>
      </w:r>
      <w:r w:rsidR="00764C19" w:rsidRPr="00AF652D">
        <w:rPr>
          <w:rFonts w:ascii="Arial" w:hAnsi="Arial" w:cs="Arial"/>
          <w:sz w:val="24"/>
          <w:szCs w:val="24"/>
        </w:rPr>
        <w:t xml:space="preserve">of persons with intellectual disabilities (e. g. </w:t>
      </w:r>
      <w:r w:rsidR="00E33DDB" w:rsidRPr="00AF652D">
        <w:rPr>
          <w:rFonts w:ascii="Arial" w:hAnsi="Arial" w:cs="Arial"/>
          <w:sz w:val="24"/>
          <w:szCs w:val="24"/>
        </w:rPr>
        <w:t xml:space="preserve">providing </w:t>
      </w:r>
      <w:r w:rsidR="00574608" w:rsidRPr="00AF652D">
        <w:rPr>
          <w:rFonts w:ascii="Arial" w:hAnsi="Arial" w:cs="Arial"/>
          <w:sz w:val="24"/>
          <w:szCs w:val="24"/>
        </w:rPr>
        <w:t>special labour market services</w:t>
      </w:r>
      <w:r w:rsidR="00764C19" w:rsidRPr="00AF652D">
        <w:rPr>
          <w:rFonts w:ascii="Arial" w:hAnsi="Arial" w:cs="Arial"/>
          <w:sz w:val="24"/>
          <w:szCs w:val="24"/>
        </w:rPr>
        <w:t xml:space="preserve">, </w:t>
      </w:r>
      <w:r w:rsidR="00251918" w:rsidRPr="00AF652D">
        <w:rPr>
          <w:rFonts w:ascii="Arial" w:hAnsi="Arial" w:cs="Arial"/>
          <w:sz w:val="24"/>
          <w:szCs w:val="24"/>
        </w:rPr>
        <w:t xml:space="preserve">job analysis, </w:t>
      </w:r>
      <w:r w:rsidR="00764C19" w:rsidRPr="00AF652D">
        <w:rPr>
          <w:rFonts w:ascii="Arial" w:hAnsi="Arial" w:cs="Arial"/>
          <w:sz w:val="24"/>
          <w:szCs w:val="24"/>
        </w:rPr>
        <w:t>organising emp</w:t>
      </w:r>
      <w:r w:rsidR="00A227B8" w:rsidRPr="00AF652D">
        <w:rPr>
          <w:rFonts w:ascii="Arial" w:hAnsi="Arial" w:cs="Arial"/>
          <w:sz w:val="24"/>
          <w:szCs w:val="24"/>
        </w:rPr>
        <w:t>l</w:t>
      </w:r>
      <w:r w:rsidR="00764C19" w:rsidRPr="00AF652D">
        <w:rPr>
          <w:rFonts w:ascii="Arial" w:hAnsi="Arial" w:cs="Arial"/>
          <w:sz w:val="24"/>
          <w:szCs w:val="24"/>
        </w:rPr>
        <w:t>oyer’s forums, implementing workplace analysis</w:t>
      </w:r>
      <w:r w:rsidR="00574608" w:rsidRPr="00AF652D">
        <w:rPr>
          <w:rFonts w:ascii="Arial" w:hAnsi="Arial" w:cs="Arial"/>
          <w:sz w:val="24"/>
          <w:szCs w:val="24"/>
        </w:rPr>
        <w:t xml:space="preserve">, granting disability-friendly workplace </w:t>
      </w:r>
      <w:r w:rsidR="00251918" w:rsidRPr="00AF652D">
        <w:rPr>
          <w:rFonts w:ascii="Arial" w:hAnsi="Arial" w:cs="Arial"/>
          <w:sz w:val="24"/>
          <w:szCs w:val="24"/>
        </w:rPr>
        <w:t>awards</w:t>
      </w:r>
      <w:r w:rsidR="00574608" w:rsidRPr="00AF652D">
        <w:rPr>
          <w:rFonts w:ascii="Arial" w:hAnsi="Arial" w:cs="Arial"/>
          <w:sz w:val="24"/>
          <w:szCs w:val="24"/>
        </w:rPr>
        <w:t>)</w:t>
      </w:r>
      <w:r w:rsidR="00251918" w:rsidRPr="00AF652D">
        <w:rPr>
          <w:rFonts w:ascii="Arial" w:hAnsi="Arial" w:cs="Arial"/>
          <w:sz w:val="24"/>
          <w:szCs w:val="24"/>
        </w:rPr>
        <w:t>.</w:t>
      </w:r>
      <w:r w:rsidR="00CA2AB8" w:rsidRPr="00AF652D">
        <w:rPr>
          <w:rStyle w:val="FootnoteReference"/>
          <w:rFonts w:ascii="Arial" w:hAnsi="Arial" w:cs="Arial"/>
          <w:sz w:val="24"/>
          <w:szCs w:val="24"/>
        </w:rPr>
        <w:footnoteReference w:id="37"/>
      </w:r>
    </w:p>
    <w:p w:rsidR="00CA2AB8" w:rsidRPr="00AF652D" w:rsidRDefault="00CA2AB8" w:rsidP="00AB2326">
      <w:pPr>
        <w:tabs>
          <w:tab w:val="left" w:pos="2694"/>
        </w:tabs>
        <w:spacing w:after="0" w:line="240" w:lineRule="auto"/>
        <w:jc w:val="both"/>
        <w:rPr>
          <w:rFonts w:ascii="Arial" w:hAnsi="Arial" w:cs="Arial"/>
          <w:sz w:val="24"/>
          <w:szCs w:val="24"/>
        </w:rPr>
      </w:pPr>
    </w:p>
    <w:p w:rsidR="00020C3C" w:rsidRPr="00AF652D" w:rsidRDefault="00020C3C" w:rsidP="00AB2326">
      <w:pPr>
        <w:pStyle w:val="Heading1"/>
        <w:tabs>
          <w:tab w:val="left" w:pos="2694"/>
        </w:tabs>
        <w:rPr>
          <w:rFonts w:cs="Arial"/>
          <w:szCs w:val="24"/>
        </w:rPr>
      </w:pPr>
      <w:bookmarkStart w:id="2" w:name="_Toc500858520"/>
      <w:r w:rsidRPr="00AF652D">
        <w:rPr>
          <w:rFonts w:cs="Arial"/>
          <w:szCs w:val="24"/>
        </w:rPr>
        <w:lastRenderedPageBreak/>
        <w:t>Access to the open labour market</w:t>
      </w:r>
      <w:bookmarkEnd w:id="2"/>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Relevant active labour market schemes</w:t>
      </w:r>
    </w:p>
    <w:p w:rsidR="00020C3C" w:rsidRPr="00AF652D" w:rsidRDefault="00020C3C" w:rsidP="00AB2326">
      <w:pPr>
        <w:tabs>
          <w:tab w:val="left" w:pos="2694"/>
        </w:tabs>
        <w:spacing w:after="0" w:line="240" w:lineRule="auto"/>
        <w:rPr>
          <w:rFonts w:ascii="Arial" w:hAnsi="Arial" w:cs="Arial"/>
          <w:sz w:val="24"/>
          <w:szCs w:val="24"/>
        </w:rPr>
      </w:pPr>
    </w:p>
    <w:p w:rsidR="00FA7D4D" w:rsidRPr="00AF652D" w:rsidRDefault="00FA7D4D" w:rsidP="00AB2326">
      <w:pPr>
        <w:tabs>
          <w:tab w:val="left" w:pos="2694"/>
        </w:tabs>
        <w:spacing w:after="0" w:line="240" w:lineRule="auto"/>
        <w:rPr>
          <w:rFonts w:ascii="Arial" w:hAnsi="Arial" w:cs="Arial"/>
          <w:i/>
          <w:sz w:val="24"/>
          <w:szCs w:val="24"/>
        </w:rPr>
      </w:pPr>
      <w:r w:rsidRPr="00AF652D">
        <w:rPr>
          <w:rFonts w:ascii="Arial" w:hAnsi="Arial" w:cs="Arial"/>
          <w:i/>
          <w:sz w:val="24"/>
          <w:szCs w:val="24"/>
        </w:rPr>
        <w:t>What are the main policies or schemes that exist to support people with disabilities in employment and what policy changes have occurred in recent years? This question relates to pillar theme 4. For example:</w:t>
      </w:r>
    </w:p>
    <w:p w:rsidR="00FA7D4D" w:rsidRPr="00AF652D" w:rsidRDefault="00FA7D4D" w:rsidP="00AB2326">
      <w:pPr>
        <w:pStyle w:val="ListParagraph"/>
        <w:numPr>
          <w:ilvl w:val="0"/>
          <w:numId w:val="5"/>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What measures exist to support people with disabilities to take up employment? </w:t>
      </w:r>
    </w:p>
    <w:p w:rsidR="00FA7D4D" w:rsidRPr="00AF652D" w:rsidRDefault="00FA7D4D" w:rsidP="00AB2326">
      <w:pPr>
        <w:pStyle w:val="ListParagraph"/>
        <w:numPr>
          <w:ilvl w:val="0"/>
          <w:numId w:val="5"/>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Who is responsible for helping them and what help is available?</w:t>
      </w:r>
    </w:p>
    <w:p w:rsidR="00FA7D4D" w:rsidRPr="00AF652D" w:rsidRDefault="00FA7D4D" w:rsidP="00AB2326">
      <w:pPr>
        <w:pStyle w:val="ListParagraph"/>
        <w:numPr>
          <w:ilvl w:val="0"/>
          <w:numId w:val="5"/>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Are these mainstream or disability specific schemes? </w:t>
      </w:r>
    </w:p>
    <w:p w:rsidR="00020C3C" w:rsidRPr="00AF652D" w:rsidRDefault="00020C3C" w:rsidP="00AB2326">
      <w:pPr>
        <w:tabs>
          <w:tab w:val="left" w:pos="2694"/>
        </w:tabs>
        <w:spacing w:after="0" w:line="240" w:lineRule="auto"/>
        <w:rPr>
          <w:rFonts w:ascii="Arial" w:hAnsi="Arial" w:cs="Arial"/>
          <w:sz w:val="24"/>
          <w:szCs w:val="24"/>
        </w:rPr>
      </w:pPr>
    </w:p>
    <w:p w:rsidR="00E11749" w:rsidRPr="00AF652D" w:rsidRDefault="00E11749" w:rsidP="00AB2326">
      <w:pPr>
        <w:pStyle w:val="ListParagraph"/>
        <w:numPr>
          <w:ilvl w:val="0"/>
          <w:numId w:val="24"/>
        </w:numPr>
        <w:tabs>
          <w:tab w:val="left" w:pos="2694"/>
        </w:tabs>
        <w:spacing w:after="0" w:line="240" w:lineRule="auto"/>
        <w:ind w:left="567" w:hanging="567"/>
        <w:rPr>
          <w:rFonts w:ascii="Arial" w:hAnsi="Arial" w:cs="Arial"/>
          <w:sz w:val="24"/>
          <w:szCs w:val="24"/>
        </w:rPr>
      </w:pPr>
      <w:r w:rsidRPr="00AF652D">
        <w:rPr>
          <w:rFonts w:ascii="Arial" w:hAnsi="Arial" w:cs="Arial"/>
          <w:sz w:val="24"/>
          <w:szCs w:val="24"/>
        </w:rPr>
        <w:t xml:space="preserve">Activation </w:t>
      </w:r>
      <w:r w:rsidR="00A81D53" w:rsidRPr="00AF652D">
        <w:rPr>
          <w:rFonts w:ascii="Arial" w:hAnsi="Arial" w:cs="Arial"/>
          <w:sz w:val="24"/>
          <w:szCs w:val="24"/>
        </w:rPr>
        <w:t xml:space="preserve">and benefits </w:t>
      </w:r>
      <w:r w:rsidRPr="00AF652D">
        <w:rPr>
          <w:rFonts w:ascii="Arial" w:hAnsi="Arial" w:cs="Arial"/>
          <w:sz w:val="24"/>
          <w:szCs w:val="24"/>
        </w:rPr>
        <w:t>of persons with reduced working abilities</w:t>
      </w:r>
    </w:p>
    <w:p w:rsidR="00E11749" w:rsidRPr="00AF652D" w:rsidRDefault="00E11749" w:rsidP="00AB2326">
      <w:pPr>
        <w:tabs>
          <w:tab w:val="left" w:pos="2694"/>
        </w:tabs>
        <w:spacing w:after="0" w:line="240" w:lineRule="auto"/>
        <w:rPr>
          <w:rFonts w:ascii="Arial" w:hAnsi="Arial" w:cs="Arial"/>
          <w:sz w:val="24"/>
          <w:szCs w:val="24"/>
        </w:rPr>
      </w:pPr>
    </w:p>
    <w:p w:rsidR="00271467" w:rsidRPr="00AF652D" w:rsidRDefault="00297521" w:rsidP="00AB2326">
      <w:pPr>
        <w:spacing w:after="0" w:line="240" w:lineRule="auto"/>
        <w:jc w:val="both"/>
        <w:rPr>
          <w:rFonts w:ascii="Arial" w:hAnsi="Arial" w:cs="Arial"/>
          <w:sz w:val="24"/>
          <w:szCs w:val="24"/>
        </w:rPr>
      </w:pPr>
      <w:r w:rsidRPr="00AF652D">
        <w:rPr>
          <w:rFonts w:ascii="Arial" w:hAnsi="Arial" w:cs="Arial"/>
          <w:sz w:val="24"/>
          <w:szCs w:val="24"/>
        </w:rPr>
        <w:t>The Act CXCI of 2011 on allowances of persons with limited working ability (hereinafter: APLWA Act)</w:t>
      </w:r>
      <w:r w:rsidRPr="00AF652D">
        <w:rPr>
          <w:rStyle w:val="FootnoteReference"/>
          <w:rFonts w:ascii="Arial" w:hAnsi="Arial" w:cs="Arial"/>
          <w:sz w:val="24"/>
          <w:szCs w:val="24"/>
        </w:rPr>
        <w:footnoteReference w:id="38"/>
      </w:r>
      <w:r w:rsidRPr="00AF652D">
        <w:rPr>
          <w:rFonts w:ascii="Arial" w:hAnsi="Arial" w:cs="Arial"/>
          <w:sz w:val="24"/>
          <w:szCs w:val="24"/>
        </w:rPr>
        <w:t xml:space="preserve"> completely changed the former system of disability pensions from 1 January 2012. </w:t>
      </w:r>
      <w:r w:rsidR="00A85C75" w:rsidRPr="00AF652D">
        <w:rPr>
          <w:rFonts w:ascii="Arial" w:hAnsi="Arial" w:cs="Arial"/>
          <w:sz w:val="24"/>
          <w:szCs w:val="24"/>
        </w:rPr>
        <w:t>According to temporary regulations</w:t>
      </w:r>
      <w:r w:rsidR="00251918" w:rsidRPr="00AF652D">
        <w:rPr>
          <w:rFonts w:ascii="Arial" w:hAnsi="Arial" w:cs="Arial"/>
          <w:sz w:val="24"/>
          <w:szCs w:val="24"/>
        </w:rPr>
        <w:t xml:space="preserve"> of the APLWA Act</w:t>
      </w:r>
      <w:r w:rsidR="00A85C75" w:rsidRPr="00AF652D">
        <w:rPr>
          <w:rFonts w:ascii="Arial" w:hAnsi="Arial" w:cs="Arial"/>
          <w:sz w:val="24"/>
          <w:szCs w:val="24"/>
        </w:rPr>
        <w:t>,</w:t>
      </w:r>
      <w:r w:rsidR="00A85C75" w:rsidRPr="00AF652D">
        <w:rPr>
          <w:rStyle w:val="FootnoteReference"/>
          <w:rFonts w:ascii="Arial" w:hAnsi="Arial" w:cs="Arial"/>
          <w:sz w:val="24"/>
          <w:szCs w:val="24"/>
        </w:rPr>
        <w:footnoteReference w:id="39"/>
      </w:r>
      <w:r w:rsidR="00A85C75" w:rsidRPr="00AF652D">
        <w:rPr>
          <w:rFonts w:ascii="Arial" w:hAnsi="Arial" w:cs="Arial"/>
          <w:sz w:val="24"/>
          <w:szCs w:val="24"/>
        </w:rPr>
        <w:t xml:space="preserve"> the status of the </w:t>
      </w:r>
      <w:r w:rsidR="002406AF" w:rsidRPr="00AF652D">
        <w:rPr>
          <w:rFonts w:ascii="Arial" w:hAnsi="Arial" w:cs="Arial"/>
          <w:sz w:val="24"/>
          <w:szCs w:val="24"/>
        </w:rPr>
        <w:t>earlier invalidity pensioners has</w:t>
      </w:r>
      <w:r w:rsidR="00A85C75" w:rsidRPr="00AF652D">
        <w:rPr>
          <w:rFonts w:ascii="Arial" w:hAnsi="Arial" w:cs="Arial"/>
          <w:sz w:val="24"/>
          <w:szCs w:val="24"/>
        </w:rPr>
        <w:t xml:space="preserve"> gradually </w:t>
      </w:r>
      <w:r w:rsidR="002406AF" w:rsidRPr="00AF652D">
        <w:rPr>
          <w:rFonts w:ascii="Arial" w:hAnsi="Arial" w:cs="Arial"/>
          <w:sz w:val="24"/>
          <w:szCs w:val="24"/>
        </w:rPr>
        <w:t>been</w:t>
      </w:r>
      <w:r w:rsidR="00A85C75" w:rsidRPr="00AF652D">
        <w:rPr>
          <w:rFonts w:ascii="Arial" w:hAnsi="Arial" w:cs="Arial"/>
          <w:sz w:val="24"/>
          <w:szCs w:val="24"/>
        </w:rPr>
        <w:t xml:space="preserve"> revised: they can be judged to be entitled to one of the new benefits or remain without this type of regular income. </w:t>
      </w:r>
      <w:r w:rsidRPr="00AF652D">
        <w:rPr>
          <w:rFonts w:ascii="Arial" w:hAnsi="Arial" w:cs="Arial"/>
          <w:sz w:val="24"/>
          <w:szCs w:val="24"/>
        </w:rPr>
        <w:t>There are two kinds of social benefits payable for persons with reduced working ability since this date: rehabilitation all</w:t>
      </w:r>
      <w:r w:rsidR="00271467" w:rsidRPr="00AF652D">
        <w:rPr>
          <w:rFonts w:ascii="Arial" w:hAnsi="Arial" w:cs="Arial"/>
          <w:sz w:val="24"/>
          <w:szCs w:val="24"/>
        </w:rPr>
        <w:t xml:space="preserve">owance and invalidity allowance, the main characteristics of which are </w:t>
      </w:r>
      <w:r w:rsidR="00F1269E" w:rsidRPr="00AF652D">
        <w:rPr>
          <w:rFonts w:ascii="Arial" w:hAnsi="Arial" w:cs="Arial"/>
          <w:sz w:val="24"/>
          <w:szCs w:val="24"/>
        </w:rPr>
        <w:t>described</w:t>
      </w:r>
      <w:r w:rsidR="00271467" w:rsidRPr="00AF652D">
        <w:rPr>
          <w:rFonts w:ascii="Arial" w:hAnsi="Arial" w:cs="Arial"/>
          <w:sz w:val="24"/>
          <w:szCs w:val="24"/>
        </w:rPr>
        <w:t xml:space="preserve"> in Table </w:t>
      </w:r>
      <w:r w:rsidR="008834E2" w:rsidRPr="00AF652D">
        <w:rPr>
          <w:rFonts w:ascii="Arial" w:hAnsi="Arial" w:cs="Arial"/>
          <w:sz w:val="24"/>
          <w:szCs w:val="24"/>
        </w:rPr>
        <w:t>3</w:t>
      </w:r>
      <w:r w:rsidR="00271467" w:rsidRPr="00AF652D">
        <w:rPr>
          <w:rFonts w:ascii="Arial" w:hAnsi="Arial" w:cs="Arial"/>
          <w:sz w:val="24"/>
          <w:szCs w:val="24"/>
        </w:rPr>
        <w:t>.</w:t>
      </w:r>
    </w:p>
    <w:p w:rsidR="00AB2326" w:rsidRPr="00AF652D" w:rsidRDefault="00AB2326" w:rsidP="00AB2326">
      <w:pPr>
        <w:spacing w:after="0" w:line="240" w:lineRule="auto"/>
        <w:jc w:val="both"/>
        <w:rPr>
          <w:rFonts w:ascii="Arial" w:hAnsi="Arial" w:cs="Arial"/>
          <w:sz w:val="24"/>
          <w:szCs w:val="24"/>
        </w:rPr>
      </w:pPr>
    </w:p>
    <w:p w:rsidR="00833CA9" w:rsidRPr="00AF652D" w:rsidRDefault="00271467" w:rsidP="00AB2326">
      <w:pPr>
        <w:spacing w:after="0" w:line="240" w:lineRule="auto"/>
        <w:jc w:val="both"/>
        <w:rPr>
          <w:rFonts w:ascii="Arial" w:hAnsi="Arial" w:cs="Arial"/>
          <w:sz w:val="24"/>
          <w:szCs w:val="24"/>
          <w:u w:val="single"/>
        </w:rPr>
      </w:pPr>
      <w:r w:rsidRPr="00AF652D">
        <w:rPr>
          <w:rFonts w:ascii="Arial" w:hAnsi="Arial" w:cs="Arial"/>
          <w:sz w:val="24"/>
          <w:szCs w:val="24"/>
          <w:u w:val="single"/>
        </w:rPr>
        <w:t xml:space="preserve">Table </w:t>
      </w:r>
      <w:r w:rsidR="008834E2" w:rsidRPr="00AF652D">
        <w:rPr>
          <w:rFonts w:ascii="Arial" w:hAnsi="Arial" w:cs="Arial"/>
          <w:sz w:val="24"/>
          <w:szCs w:val="24"/>
          <w:u w:val="single"/>
        </w:rPr>
        <w:t>3</w:t>
      </w:r>
      <w:r w:rsidRPr="00AF652D">
        <w:rPr>
          <w:rFonts w:ascii="Arial" w:hAnsi="Arial" w:cs="Arial"/>
          <w:sz w:val="24"/>
          <w:szCs w:val="24"/>
          <w:u w:val="single"/>
        </w:rPr>
        <w:t>:</w:t>
      </w:r>
      <w:r w:rsidRPr="00AF652D">
        <w:rPr>
          <w:rFonts w:ascii="Arial" w:hAnsi="Arial" w:cs="Arial"/>
          <w:sz w:val="24"/>
          <w:szCs w:val="24"/>
        </w:rPr>
        <w:t xml:space="preserve"> The main characteristics of rehabilitation allowance and invalidity allowance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930"/>
        <w:gridCol w:w="1673"/>
        <w:gridCol w:w="1305"/>
        <w:gridCol w:w="2437"/>
      </w:tblGrid>
      <w:tr w:rsidR="00833CA9" w:rsidRPr="00AF652D" w:rsidTr="00711089">
        <w:trPr>
          <w:cantSplit/>
        </w:trPr>
        <w:tc>
          <w:tcPr>
            <w:tcW w:w="1428"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Name</w:t>
            </w:r>
          </w:p>
        </w:tc>
        <w:tc>
          <w:tcPr>
            <w:tcW w:w="2047"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 xml:space="preserve"> Purpose</w:t>
            </w:r>
          </w:p>
        </w:tc>
        <w:tc>
          <w:tcPr>
            <w:tcW w:w="1784"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Means-testing requirement</w:t>
            </w:r>
          </w:p>
        </w:tc>
        <w:tc>
          <w:tcPr>
            <w:tcW w:w="1351"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Social insurance character</w:t>
            </w:r>
          </w:p>
        </w:tc>
        <w:tc>
          <w:tcPr>
            <w:tcW w:w="2669"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Eligibility</w:t>
            </w:r>
          </w:p>
        </w:tc>
      </w:tr>
      <w:tr w:rsidR="00833CA9" w:rsidRPr="00AF652D" w:rsidTr="00711089">
        <w:trPr>
          <w:cantSplit/>
        </w:trPr>
        <w:tc>
          <w:tcPr>
            <w:tcW w:w="124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Rehabilitation allowance</w:t>
            </w:r>
            <w:r w:rsidRPr="00AF652D">
              <w:rPr>
                <w:rStyle w:val="FootnoteReference"/>
                <w:rFonts w:ascii="Arial" w:eastAsia="Calibri" w:hAnsi="Arial" w:cs="Arial"/>
                <w:sz w:val="24"/>
                <w:szCs w:val="24"/>
              </w:rPr>
              <w:footnoteReference w:id="40"/>
            </w:r>
          </w:p>
        </w:tc>
        <w:tc>
          <w:tcPr>
            <w:tcW w:w="2127"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Temporary financial support for persons with reduced working ability supplemented by diverse rehabilitation ser</w:t>
            </w:r>
            <w:r w:rsidR="00AB2326" w:rsidRPr="00AF652D">
              <w:rPr>
                <w:rFonts w:ascii="Arial" w:eastAsia="Calibri" w:hAnsi="Arial" w:cs="Arial"/>
                <w:sz w:val="24"/>
                <w:szCs w:val="24"/>
              </w:rPr>
              <w:t xml:space="preserve">vices in kind </w:t>
            </w:r>
            <w:proofErr w:type="gramStart"/>
            <w:r w:rsidR="00AB2326" w:rsidRPr="00AF652D">
              <w:rPr>
                <w:rFonts w:ascii="Arial" w:eastAsia="Calibri" w:hAnsi="Arial" w:cs="Arial"/>
                <w:sz w:val="24"/>
                <w:szCs w:val="24"/>
              </w:rPr>
              <w:t>in order to</w:t>
            </w:r>
            <w:proofErr w:type="gramEnd"/>
            <w:r w:rsidR="00AB2326" w:rsidRPr="00AF652D">
              <w:rPr>
                <w:rFonts w:ascii="Arial" w:eastAsia="Calibri" w:hAnsi="Arial" w:cs="Arial"/>
                <w:sz w:val="24"/>
                <w:szCs w:val="24"/>
              </w:rPr>
              <w:t xml:space="preserve"> help </w:t>
            </w:r>
            <w:r w:rsidRPr="00AF652D">
              <w:rPr>
                <w:rFonts w:ascii="Arial" w:eastAsia="Calibri" w:hAnsi="Arial" w:cs="Arial"/>
                <w:sz w:val="24"/>
                <w:szCs w:val="24"/>
              </w:rPr>
              <w:t>reintegration into the labour market</w:t>
            </w:r>
          </w:p>
        </w:tc>
        <w:tc>
          <w:tcPr>
            <w:tcW w:w="184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no</w:t>
            </w:r>
          </w:p>
        </w:tc>
        <w:tc>
          <w:tcPr>
            <w:tcW w:w="1276"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yes</w:t>
            </w:r>
            <w:r w:rsidRPr="00AF652D">
              <w:rPr>
                <w:rStyle w:val="FootnoteReference"/>
                <w:rFonts w:ascii="Arial" w:eastAsia="Calibri" w:hAnsi="Arial" w:cs="Arial"/>
                <w:sz w:val="24"/>
                <w:szCs w:val="24"/>
              </w:rPr>
              <w:footnoteReference w:id="41"/>
            </w:r>
          </w:p>
        </w:tc>
        <w:tc>
          <w:tcPr>
            <w:tcW w:w="279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3 joint criteria:</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a certain period of prior employment</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min. 40 % health impairment</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 xml:space="preserve">the complex assessment process establishes that the rehabilitation of the working ability is possible and recommended </w:t>
            </w:r>
          </w:p>
        </w:tc>
      </w:tr>
      <w:tr w:rsidR="00833CA9" w:rsidRPr="00AF652D" w:rsidTr="00711089">
        <w:trPr>
          <w:cantSplit/>
        </w:trPr>
        <w:tc>
          <w:tcPr>
            <w:tcW w:w="124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lastRenderedPageBreak/>
              <w:t>Invalidity allowance</w:t>
            </w:r>
            <w:r w:rsidRPr="00AF652D">
              <w:rPr>
                <w:rStyle w:val="FootnoteReference"/>
                <w:rFonts w:ascii="Arial" w:eastAsia="Calibri" w:hAnsi="Arial" w:cs="Arial"/>
                <w:sz w:val="24"/>
                <w:szCs w:val="24"/>
              </w:rPr>
              <w:footnoteReference w:id="42"/>
            </w:r>
          </w:p>
        </w:tc>
        <w:tc>
          <w:tcPr>
            <w:tcW w:w="2127"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Lasting income support for persons with reduced working ability not supposed to be reintegrated to employment even by means of rehabilitation</w:t>
            </w:r>
          </w:p>
        </w:tc>
        <w:tc>
          <w:tcPr>
            <w:tcW w:w="184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no</w:t>
            </w:r>
          </w:p>
        </w:tc>
        <w:tc>
          <w:tcPr>
            <w:tcW w:w="1276"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yes</w:t>
            </w:r>
          </w:p>
        </w:tc>
        <w:tc>
          <w:tcPr>
            <w:tcW w:w="2792" w:type="dxa"/>
          </w:tcPr>
          <w:p w:rsidR="00833CA9" w:rsidRPr="00AF652D" w:rsidRDefault="00833CA9" w:rsidP="00AB2326">
            <w:pPr>
              <w:spacing w:after="0" w:line="240" w:lineRule="auto"/>
              <w:rPr>
                <w:rFonts w:ascii="Arial" w:eastAsia="Calibri" w:hAnsi="Arial" w:cs="Arial"/>
                <w:sz w:val="24"/>
                <w:szCs w:val="24"/>
              </w:rPr>
            </w:pPr>
            <w:r w:rsidRPr="00AF652D">
              <w:rPr>
                <w:rFonts w:ascii="Arial" w:eastAsia="Calibri" w:hAnsi="Arial" w:cs="Arial"/>
                <w:sz w:val="24"/>
                <w:szCs w:val="24"/>
              </w:rPr>
              <w:t>3 joint criteria:</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a certain period of prior employment</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min. 40 % health impairment</w:t>
            </w:r>
          </w:p>
          <w:p w:rsidR="00833CA9" w:rsidRPr="00AF652D" w:rsidRDefault="00833CA9" w:rsidP="00AB2326">
            <w:pPr>
              <w:numPr>
                <w:ilvl w:val="0"/>
                <w:numId w:val="23"/>
              </w:numPr>
              <w:spacing w:after="0" w:line="240" w:lineRule="auto"/>
              <w:ind w:left="317" w:hanging="218"/>
              <w:rPr>
                <w:rFonts w:ascii="Arial" w:eastAsia="Calibri" w:hAnsi="Arial" w:cs="Arial"/>
                <w:sz w:val="24"/>
                <w:szCs w:val="24"/>
              </w:rPr>
            </w:pPr>
            <w:r w:rsidRPr="00AF652D">
              <w:rPr>
                <w:rFonts w:ascii="Arial" w:eastAsia="Calibri" w:hAnsi="Arial" w:cs="Arial"/>
                <w:sz w:val="24"/>
                <w:szCs w:val="24"/>
              </w:rPr>
              <w:t>the complex assessment process establishes that the rehabilitation of the working ability is not recommended</w:t>
            </w:r>
          </w:p>
        </w:tc>
      </w:tr>
    </w:tbl>
    <w:p w:rsidR="00833CA9" w:rsidRPr="00AF652D" w:rsidRDefault="00833CA9" w:rsidP="00AB2326">
      <w:pPr>
        <w:spacing w:after="0" w:line="240" w:lineRule="auto"/>
        <w:jc w:val="both"/>
        <w:rPr>
          <w:rFonts w:ascii="Arial" w:hAnsi="Arial" w:cs="Arial"/>
          <w:sz w:val="24"/>
          <w:szCs w:val="24"/>
        </w:rPr>
      </w:pPr>
    </w:p>
    <w:p w:rsidR="00297521" w:rsidRPr="00AF652D" w:rsidRDefault="00297521" w:rsidP="00AB2326">
      <w:pPr>
        <w:spacing w:after="0" w:line="240" w:lineRule="auto"/>
        <w:jc w:val="both"/>
        <w:rPr>
          <w:rFonts w:ascii="Arial" w:hAnsi="Arial" w:cs="Arial"/>
          <w:sz w:val="24"/>
          <w:szCs w:val="24"/>
        </w:rPr>
      </w:pPr>
      <w:r w:rsidRPr="00AF652D">
        <w:rPr>
          <w:rFonts w:ascii="Arial" w:hAnsi="Arial" w:cs="Arial"/>
          <w:sz w:val="24"/>
          <w:szCs w:val="24"/>
        </w:rPr>
        <w:t>Eligibility is established by means of a complex assessment process, carried out by medical, social and employment experts.</w:t>
      </w:r>
      <w:r w:rsidR="00BF5C49" w:rsidRPr="00AF652D">
        <w:rPr>
          <w:rStyle w:val="FootnoteReference"/>
          <w:rFonts w:ascii="Arial" w:hAnsi="Arial" w:cs="Arial"/>
          <w:sz w:val="24"/>
          <w:szCs w:val="24"/>
        </w:rPr>
        <w:footnoteReference w:id="43"/>
      </w:r>
    </w:p>
    <w:p w:rsidR="00AB2326" w:rsidRPr="00AF652D" w:rsidRDefault="00AB2326" w:rsidP="00AB2326">
      <w:pPr>
        <w:spacing w:after="0" w:line="240" w:lineRule="auto"/>
        <w:jc w:val="both"/>
        <w:rPr>
          <w:rFonts w:ascii="Arial" w:hAnsi="Arial" w:cs="Arial"/>
          <w:sz w:val="24"/>
          <w:szCs w:val="24"/>
        </w:rPr>
      </w:pPr>
    </w:p>
    <w:p w:rsidR="00297521" w:rsidRPr="00AF652D" w:rsidRDefault="00297521" w:rsidP="00AB2326">
      <w:pPr>
        <w:spacing w:after="0" w:line="240" w:lineRule="auto"/>
        <w:jc w:val="both"/>
        <w:rPr>
          <w:rFonts w:ascii="Arial" w:hAnsi="Arial" w:cs="Arial"/>
          <w:sz w:val="24"/>
          <w:szCs w:val="24"/>
        </w:rPr>
      </w:pPr>
      <w:r w:rsidRPr="00AF652D">
        <w:rPr>
          <w:rFonts w:ascii="Arial" w:hAnsi="Arial" w:cs="Arial"/>
          <w:sz w:val="24"/>
          <w:szCs w:val="24"/>
        </w:rPr>
        <w:t>In 2012, about 440,000 persons, which is 4.5 % of the total population, qualified for reduced working ability. 40 % of them received rehabilitation allowance, 47 % of them invalidity allowance.</w:t>
      </w:r>
      <w:r w:rsidR="00563DD9" w:rsidRPr="00AF652D">
        <w:rPr>
          <w:rFonts w:ascii="Arial" w:hAnsi="Arial" w:cs="Arial"/>
          <w:sz w:val="24"/>
          <w:szCs w:val="24"/>
          <w:vertAlign w:val="superscript"/>
        </w:rPr>
        <w:footnoteReference w:id="44"/>
      </w:r>
    </w:p>
    <w:p w:rsidR="00AB2326" w:rsidRPr="00AF652D" w:rsidRDefault="00AB2326" w:rsidP="00AB2326">
      <w:pPr>
        <w:spacing w:after="0" w:line="240" w:lineRule="auto"/>
        <w:jc w:val="both"/>
        <w:rPr>
          <w:rFonts w:ascii="Arial" w:hAnsi="Arial" w:cs="Arial"/>
          <w:sz w:val="24"/>
          <w:szCs w:val="24"/>
        </w:rPr>
      </w:pPr>
    </w:p>
    <w:p w:rsidR="00AC5176" w:rsidRPr="00AF652D" w:rsidRDefault="00B96E47" w:rsidP="00AB2326">
      <w:pPr>
        <w:spacing w:after="0" w:line="240" w:lineRule="auto"/>
        <w:jc w:val="both"/>
        <w:rPr>
          <w:rFonts w:ascii="Arial" w:hAnsi="Arial" w:cs="Arial"/>
          <w:sz w:val="24"/>
          <w:szCs w:val="24"/>
        </w:rPr>
      </w:pPr>
      <w:r w:rsidRPr="00AF652D">
        <w:rPr>
          <w:rFonts w:ascii="Arial" w:hAnsi="Arial" w:cs="Arial"/>
          <w:sz w:val="24"/>
          <w:szCs w:val="24"/>
        </w:rPr>
        <w:t xml:space="preserve">Rehabilitation allowance may be provided for up to 3 years. During the eligibility period the </w:t>
      </w:r>
      <w:r w:rsidR="00DC748C" w:rsidRPr="00AF652D">
        <w:rPr>
          <w:rFonts w:ascii="Arial" w:hAnsi="Arial" w:cs="Arial"/>
          <w:sz w:val="24"/>
          <w:szCs w:val="24"/>
        </w:rPr>
        <w:t xml:space="preserve">client has a cooperation duty with the rehabilitation authority. A tailor-made individual rehabilitation plan is issued for all clients, </w:t>
      </w:r>
      <w:r w:rsidR="00A409F9" w:rsidRPr="00AF652D">
        <w:rPr>
          <w:rFonts w:ascii="Arial" w:hAnsi="Arial" w:cs="Arial"/>
          <w:sz w:val="24"/>
          <w:szCs w:val="24"/>
        </w:rPr>
        <w:t>including the personal rehabilitation needs and the necessary rehabilitation services respectively. This plan forms the</w:t>
      </w:r>
      <w:r w:rsidR="00DC748C" w:rsidRPr="00AF652D">
        <w:rPr>
          <w:rFonts w:ascii="Arial" w:hAnsi="Arial" w:cs="Arial"/>
          <w:sz w:val="24"/>
          <w:szCs w:val="24"/>
        </w:rPr>
        <w:t xml:space="preserve"> framework of the cooperation </w:t>
      </w:r>
      <w:r w:rsidR="00D71C59" w:rsidRPr="00AF652D">
        <w:rPr>
          <w:rFonts w:ascii="Arial" w:hAnsi="Arial" w:cs="Arial"/>
          <w:sz w:val="24"/>
          <w:szCs w:val="24"/>
        </w:rPr>
        <w:t xml:space="preserve">between the client and the rehabilitation authority. The clients are supposed to strive for active job-seeking and to accept any appropriate job offer. (The criteria for appropriateness are determined in the section 1(2)(5) of the APLWA Act.) Further he/she is required to </w:t>
      </w:r>
      <w:r w:rsidR="007D69F1" w:rsidRPr="00AF652D">
        <w:rPr>
          <w:rFonts w:ascii="Arial" w:hAnsi="Arial" w:cs="Arial"/>
          <w:sz w:val="24"/>
          <w:szCs w:val="24"/>
        </w:rPr>
        <w:t xml:space="preserve">use the rehabilitation services provided by the </w:t>
      </w:r>
      <w:r w:rsidR="00711089" w:rsidRPr="00AF652D">
        <w:rPr>
          <w:rFonts w:ascii="Arial" w:hAnsi="Arial" w:cs="Arial"/>
          <w:sz w:val="24"/>
          <w:szCs w:val="24"/>
        </w:rPr>
        <w:t>rehabilitation authority</w:t>
      </w:r>
      <w:r w:rsidR="00374E19" w:rsidRPr="00AF652D">
        <w:rPr>
          <w:rFonts w:ascii="Arial" w:hAnsi="Arial" w:cs="Arial"/>
          <w:sz w:val="24"/>
          <w:szCs w:val="24"/>
        </w:rPr>
        <w:t xml:space="preserve"> or an accredited rehabilitation service provider</w:t>
      </w:r>
      <w:r w:rsidR="00711089" w:rsidRPr="00AF652D">
        <w:rPr>
          <w:rFonts w:ascii="Arial" w:hAnsi="Arial" w:cs="Arial"/>
          <w:sz w:val="24"/>
          <w:szCs w:val="24"/>
        </w:rPr>
        <w:t>, including e.g. a</w:t>
      </w:r>
      <w:r w:rsidR="000252E9" w:rsidRPr="00AF652D">
        <w:rPr>
          <w:rFonts w:ascii="Arial" w:hAnsi="Arial" w:cs="Arial"/>
          <w:sz w:val="24"/>
          <w:szCs w:val="24"/>
        </w:rPr>
        <w:t xml:space="preserve">dvisory, training, health care services. Since 2016 clients </w:t>
      </w:r>
      <w:r w:rsidR="00741B23" w:rsidRPr="00AF652D">
        <w:rPr>
          <w:rFonts w:ascii="Arial" w:hAnsi="Arial" w:cs="Arial"/>
          <w:sz w:val="24"/>
          <w:szCs w:val="24"/>
        </w:rPr>
        <w:t xml:space="preserve">receiving rehabilitation services </w:t>
      </w:r>
      <w:r w:rsidR="000252E9" w:rsidRPr="00AF652D">
        <w:rPr>
          <w:rFonts w:ascii="Arial" w:hAnsi="Arial" w:cs="Arial"/>
          <w:sz w:val="24"/>
          <w:szCs w:val="24"/>
        </w:rPr>
        <w:t xml:space="preserve">may be granted extra training allowance as well. </w:t>
      </w:r>
      <w:r w:rsidR="00513BA9" w:rsidRPr="00AF652D">
        <w:rPr>
          <w:rFonts w:ascii="Arial" w:hAnsi="Arial" w:cs="Arial"/>
          <w:sz w:val="24"/>
          <w:szCs w:val="24"/>
        </w:rPr>
        <w:t xml:space="preserve">Costs of living of </w:t>
      </w:r>
      <w:r w:rsidR="003901EF" w:rsidRPr="00AF652D">
        <w:rPr>
          <w:rFonts w:ascii="Arial" w:hAnsi="Arial" w:cs="Arial"/>
          <w:sz w:val="24"/>
          <w:szCs w:val="24"/>
        </w:rPr>
        <w:t xml:space="preserve">unemployed </w:t>
      </w:r>
      <w:r w:rsidR="00513BA9" w:rsidRPr="00AF652D">
        <w:rPr>
          <w:rFonts w:ascii="Arial" w:hAnsi="Arial" w:cs="Arial"/>
          <w:sz w:val="24"/>
          <w:szCs w:val="24"/>
        </w:rPr>
        <w:t xml:space="preserve">clients </w:t>
      </w:r>
      <w:r w:rsidR="0053179B" w:rsidRPr="00AF652D">
        <w:rPr>
          <w:rFonts w:ascii="Arial" w:hAnsi="Arial" w:cs="Arial"/>
          <w:sz w:val="24"/>
          <w:szCs w:val="24"/>
        </w:rPr>
        <w:t>attending</w:t>
      </w:r>
      <w:r w:rsidR="00AE420E" w:rsidRPr="00AF652D">
        <w:rPr>
          <w:rFonts w:ascii="Arial" w:hAnsi="Arial" w:cs="Arial"/>
          <w:sz w:val="24"/>
          <w:szCs w:val="24"/>
        </w:rPr>
        <w:t xml:space="preserve"> </w:t>
      </w:r>
      <w:r w:rsidR="0053179B" w:rsidRPr="00AF652D">
        <w:rPr>
          <w:rFonts w:ascii="Arial" w:hAnsi="Arial" w:cs="Arial"/>
          <w:sz w:val="24"/>
          <w:szCs w:val="24"/>
        </w:rPr>
        <w:t xml:space="preserve">trainings over 20 hours a week </w:t>
      </w:r>
      <w:r w:rsidR="003901EF" w:rsidRPr="00AF652D">
        <w:rPr>
          <w:rFonts w:ascii="Arial" w:hAnsi="Arial" w:cs="Arial"/>
          <w:sz w:val="24"/>
          <w:szCs w:val="24"/>
        </w:rPr>
        <w:t xml:space="preserve">can be also supported. Training allowance may be granted on the grounds of a specific </w:t>
      </w:r>
      <w:r w:rsidR="00A878C5" w:rsidRPr="00AF652D">
        <w:rPr>
          <w:rFonts w:ascii="Arial" w:hAnsi="Arial" w:cs="Arial"/>
          <w:sz w:val="24"/>
          <w:szCs w:val="24"/>
        </w:rPr>
        <w:t>agreement between the client and the authority responsible for social and child protection affairs</w:t>
      </w:r>
      <w:r w:rsidR="00741B23" w:rsidRPr="00AF652D">
        <w:rPr>
          <w:rFonts w:ascii="Arial" w:hAnsi="Arial" w:cs="Arial"/>
          <w:sz w:val="24"/>
          <w:szCs w:val="24"/>
        </w:rPr>
        <w:t>.</w:t>
      </w:r>
    </w:p>
    <w:p w:rsidR="00AB2326" w:rsidRPr="00AF652D" w:rsidRDefault="00AB2326" w:rsidP="00AB2326">
      <w:pPr>
        <w:spacing w:after="0" w:line="240" w:lineRule="auto"/>
        <w:jc w:val="both"/>
        <w:rPr>
          <w:rFonts w:ascii="Arial" w:hAnsi="Arial" w:cs="Arial"/>
          <w:sz w:val="24"/>
          <w:szCs w:val="24"/>
        </w:rPr>
      </w:pPr>
    </w:p>
    <w:p w:rsidR="00B96E47" w:rsidRPr="00AF652D" w:rsidRDefault="000252E9" w:rsidP="00AB2326">
      <w:pPr>
        <w:spacing w:after="0" w:line="240" w:lineRule="auto"/>
        <w:jc w:val="both"/>
        <w:rPr>
          <w:rFonts w:ascii="Arial" w:hAnsi="Arial" w:cs="Arial"/>
          <w:sz w:val="24"/>
          <w:szCs w:val="24"/>
        </w:rPr>
      </w:pPr>
      <w:r w:rsidRPr="00AF652D">
        <w:rPr>
          <w:rFonts w:ascii="Arial" w:hAnsi="Arial" w:cs="Arial"/>
          <w:sz w:val="24"/>
          <w:szCs w:val="24"/>
        </w:rPr>
        <w:t xml:space="preserve">A repeated, </w:t>
      </w:r>
      <w:r w:rsidR="00DF5C12" w:rsidRPr="00AF652D">
        <w:rPr>
          <w:rFonts w:ascii="Arial" w:hAnsi="Arial" w:cs="Arial"/>
          <w:sz w:val="24"/>
          <w:szCs w:val="24"/>
        </w:rPr>
        <w:t>attributable</w:t>
      </w:r>
      <w:r w:rsidR="00926A73" w:rsidRPr="00AF652D">
        <w:rPr>
          <w:rFonts w:ascii="Arial" w:hAnsi="Arial" w:cs="Arial"/>
          <w:sz w:val="24"/>
          <w:szCs w:val="24"/>
        </w:rPr>
        <w:t xml:space="preserve"> breach of the cooperation duty is sanctioned by termination of the </w:t>
      </w:r>
      <w:r w:rsidR="00275CA9" w:rsidRPr="00AF652D">
        <w:rPr>
          <w:rFonts w:ascii="Arial" w:hAnsi="Arial" w:cs="Arial"/>
          <w:sz w:val="24"/>
          <w:szCs w:val="24"/>
        </w:rPr>
        <w:t xml:space="preserve">provision of rehabilitation allowance. Declining an appropriate job offer </w:t>
      </w:r>
      <w:r w:rsidR="00B65A89" w:rsidRPr="00AF652D">
        <w:rPr>
          <w:rFonts w:ascii="Arial" w:hAnsi="Arial" w:cs="Arial"/>
          <w:sz w:val="24"/>
          <w:szCs w:val="24"/>
        </w:rPr>
        <w:t>is considered as such a breach</w:t>
      </w:r>
      <w:r w:rsidR="00A560C8" w:rsidRPr="00AF652D">
        <w:rPr>
          <w:rFonts w:ascii="Arial" w:hAnsi="Arial" w:cs="Arial"/>
          <w:sz w:val="24"/>
          <w:szCs w:val="24"/>
        </w:rPr>
        <w:t xml:space="preserve"> of duty</w:t>
      </w:r>
      <w:r w:rsidR="00275CA9" w:rsidRPr="00AF652D">
        <w:rPr>
          <w:rFonts w:ascii="Arial" w:hAnsi="Arial" w:cs="Arial"/>
          <w:sz w:val="24"/>
          <w:szCs w:val="24"/>
        </w:rPr>
        <w:t xml:space="preserve">. The main objective of rehabilitation allowance is to enable the client to carry out work in the open labour market. </w:t>
      </w:r>
      <w:r w:rsidR="0058403A" w:rsidRPr="00AF652D">
        <w:rPr>
          <w:rFonts w:ascii="Arial" w:hAnsi="Arial" w:cs="Arial"/>
          <w:sz w:val="24"/>
          <w:szCs w:val="24"/>
        </w:rPr>
        <w:t>Provided that the recipient works in</w:t>
      </w:r>
      <w:r w:rsidR="00D22498" w:rsidRPr="00AF652D">
        <w:rPr>
          <w:rFonts w:ascii="Arial" w:hAnsi="Arial" w:cs="Arial"/>
          <w:sz w:val="24"/>
          <w:szCs w:val="24"/>
        </w:rPr>
        <w:t xml:space="preserve"> an employment relationsh</w:t>
      </w:r>
      <w:r w:rsidR="00066FF4" w:rsidRPr="00AF652D">
        <w:rPr>
          <w:rFonts w:ascii="Arial" w:hAnsi="Arial" w:cs="Arial"/>
          <w:sz w:val="24"/>
          <w:szCs w:val="24"/>
        </w:rPr>
        <w:t>i</w:t>
      </w:r>
      <w:r w:rsidR="00D22498" w:rsidRPr="00AF652D">
        <w:rPr>
          <w:rFonts w:ascii="Arial" w:hAnsi="Arial" w:cs="Arial"/>
          <w:sz w:val="24"/>
          <w:szCs w:val="24"/>
        </w:rPr>
        <w:t>p</w:t>
      </w:r>
      <w:r w:rsidR="00275CA9" w:rsidRPr="00AF652D">
        <w:rPr>
          <w:rFonts w:ascii="Arial" w:hAnsi="Arial" w:cs="Arial"/>
          <w:sz w:val="24"/>
          <w:szCs w:val="24"/>
        </w:rPr>
        <w:t>,</w:t>
      </w:r>
      <w:r w:rsidR="00D22498" w:rsidRPr="00AF652D">
        <w:rPr>
          <w:rFonts w:ascii="Arial" w:hAnsi="Arial" w:cs="Arial"/>
          <w:sz w:val="24"/>
          <w:szCs w:val="24"/>
        </w:rPr>
        <w:t xml:space="preserve"> including public employment </w:t>
      </w:r>
      <w:r w:rsidR="00D22498" w:rsidRPr="00AF652D">
        <w:rPr>
          <w:rFonts w:ascii="Arial" w:hAnsi="Arial" w:cs="Arial"/>
          <w:sz w:val="24"/>
          <w:szCs w:val="24"/>
        </w:rPr>
        <w:lastRenderedPageBreak/>
        <w:t>relationship,</w:t>
      </w:r>
      <w:r w:rsidR="00AE420E" w:rsidRPr="00AF652D">
        <w:rPr>
          <w:rFonts w:ascii="Arial" w:hAnsi="Arial" w:cs="Arial"/>
          <w:sz w:val="24"/>
          <w:szCs w:val="24"/>
        </w:rPr>
        <w:t xml:space="preserve"> </w:t>
      </w:r>
      <w:r w:rsidR="0058403A" w:rsidRPr="00AF652D">
        <w:rPr>
          <w:rFonts w:ascii="Arial" w:hAnsi="Arial" w:cs="Arial"/>
          <w:sz w:val="24"/>
          <w:szCs w:val="24"/>
        </w:rPr>
        <w:t xml:space="preserve">over 20 hours a week, </w:t>
      </w:r>
      <w:r w:rsidR="00D22498" w:rsidRPr="00AF652D">
        <w:rPr>
          <w:rFonts w:ascii="Arial" w:hAnsi="Arial" w:cs="Arial"/>
          <w:sz w:val="24"/>
          <w:szCs w:val="24"/>
        </w:rPr>
        <w:t>for</w:t>
      </w:r>
      <w:r w:rsidR="0058403A" w:rsidRPr="00AF652D">
        <w:rPr>
          <w:rFonts w:ascii="Arial" w:hAnsi="Arial" w:cs="Arial"/>
          <w:sz w:val="24"/>
          <w:szCs w:val="24"/>
        </w:rPr>
        <w:t xml:space="preserve"> over 3 month</w:t>
      </w:r>
      <w:r w:rsidR="00AF652D">
        <w:rPr>
          <w:rFonts w:ascii="Arial" w:hAnsi="Arial" w:cs="Arial"/>
          <w:sz w:val="24"/>
          <w:szCs w:val="24"/>
        </w:rPr>
        <w:t>s</w:t>
      </w:r>
      <w:r w:rsidR="0058403A" w:rsidRPr="00AF652D">
        <w:rPr>
          <w:rFonts w:ascii="Arial" w:hAnsi="Arial" w:cs="Arial"/>
          <w:sz w:val="24"/>
          <w:szCs w:val="24"/>
        </w:rPr>
        <w:t>,</w:t>
      </w:r>
      <w:r w:rsidR="00275CA9" w:rsidRPr="00AF652D">
        <w:rPr>
          <w:rFonts w:ascii="Arial" w:hAnsi="Arial" w:cs="Arial"/>
          <w:sz w:val="24"/>
          <w:szCs w:val="24"/>
        </w:rPr>
        <w:t xml:space="preserve"> the granting of this benefit shall be </w:t>
      </w:r>
      <w:r w:rsidR="0058403A" w:rsidRPr="00AF652D">
        <w:rPr>
          <w:rFonts w:ascii="Arial" w:hAnsi="Arial" w:cs="Arial"/>
          <w:sz w:val="24"/>
          <w:szCs w:val="24"/>
        </w:rPr>
        <w:t>terminated</w:t>
      </w:r>
      <w:r w:rsidR="00275CA9" w:rsidRPr="00AF652D">
        <w:rPr>
          <w:rFonts w:ascii="Arial" w:hAnsi="Arial" w:cs="Arial"/>
          <w:sz w:val="24"/>
          <w:szCs w:val="24"/>
        </w:rPr>
        <w:t>.</w:t>
      </w:r>
      <w:r w:rsidR="0096148B" w:rsidRPr="00AF652D">
        <w:rPr>
          <w:rStyle w:val="FootnoteReference"/>
          <w:rFonts w:ascii="Arial" w:hAnsi="Arial" w:cs="Arial"/>
          <w:sz w:val="24"/>
          <w:szCs w:val="24"/>
        </w:rPr>
        <w:footnoteReference w:id="45"/>
      </w:r>
    </w:p>
    <w:p w:rsidR="00AB2326" w:rsidRPr="00AF652D" w:rsidRDefault="00AB2326" w:rsidP="00AB2326">
      <w:pPr>
        <w:spacing w:after="0" w:line="240" w:lineRule="auto"/>
        <w:jc w:val="both"/>
        <w:rPr>
          <w:rFonts w:ascii="Arial" w:hAnsi="Arial" w:cs="Arial"/>
          <w:sz w:val="24"/>
          <w:szCs w:val="24"/>
        </w:rPr>
      </w:pPr>
    </w:p>
    <w:p w:rsidR="00D71A25" w:rsidRPr="00AF652D" w:rsidRDefault="00D71A25" w:rsidP="00AB2326">
      <w:pPr>
        <w:spacing w:after="0" w:line="240" w:lineRule="auto"/>
        <w:jc w:val="both"/>
        <w:rPr>
          <w:rFonts w:ascii="Arial" w:hAnsi="Arial" w:cs="Arial"/>
          <w:sz w:val="24"/>
          <w:szCs w:val="24"/>
        </w:rPr>
      </w:pPr>
      <w:r w:rsidRPr="00AF652D">
        <w:rPr>
          <w:rFonts w:ascii="Arial" w:hAnsi="Arial" w:cs="Arial"/>
          <w:sz w:val="24"/>
          <w:szCs w:val="24"/>
        </w:rPr>
        <w:t xml:space="preserve">Clients receiving invalidity benefit are not expected to take rehabilitation services and </w:t>
      </w:r>
      <w:r w:rsidR="00A03A49" w:rsidRPr="00AF652D">
        <w:rPr>
          <w:rFonts w:ascii="Arial" w:hAnsi="Arial" w:cs="Arial"/>
          <w:sz w:val="24"/>
          <w:szCs w:val="24"/>
        </w:rPr>
        <w:t xml:space="preserve">seek job. </w:t>
      </w:r>
      <w:r w:rsidR="007C1D51" w:rsidRPr="00AF652D">
        <w:rPr>
          <w:rFonts w:ascii="Arial" w:hAnsi="Arial" w:cs="Arial"/>
          <w:sz w:val="24"/>
          <w:szCs w:val="24"/>
        </w:rPr>
        <w:t xml:space="preserve">Although invalidity allowance is a passive, permanent, income substituting benefit, it cannot be deemed to be a retirement benefit. Eligibility is </w:t>
      </w:r>
      <w:r w:rsidR="00AC5176" w:rsidRPr="00AF652D">
        <w:rPr>
          <w:rFonts w:ascii="Arial" w:hAnsi="Arial" w:cs="Arial"/>
          <w:sz w:val="24"/>
          <w:szCs w:val="24"/>
        </w:rPr>
        <w:t xml:space="preserve">reassessed, and if </w:t>
      </w:r>
      <w:r w:rsidR="00BA4C69" w:rsidRPr="00AF652D">
        <w:rPr>
          <w:rFonts w:ascii="Arial" w:hAnsi="Arial" w:cs="Arial"/>
          <w:sz w:val="24"/>
          <w:szCs w:val="24"/>
        </w:rPr>
        <w:t xml:space="preserve">it is </w:t>
      </w:r>
      <w:r w:rsidR="00AC5176" w:rsidRPr="00AF652D">
        <w:rPr>
          <w:rFonts w:ascii="Arial" w:hAnsi="Arial" w:cs="Arial"/>
          <w:sz w:val="24"/>
          <w:szCs w:val="24"/>
        </w:rPr>
        <w:t>necessary</w:t>
      </w:r>
      <w:r w:rsidR="00BA4C69" w:rsidRPr="00AF652D">
        <w:rPr>
          <w:rFonts w:ascii="Arial" w:hAnsi="Arial" w:cs="Arial"/>
          <w:sz w:val="24"/>
          <w:szCs w:val="24"/>
        </w:rPr>
        <w:t xml:space="preserve"> based on the outcome of the new assessment</w:t>
      </w:r>
      <w:r w:rsidR="00AC5176" w:rsidRPr="00AF652D">
        <w:rPr>
          <w:rFonts w:ascii="Arial" w:hAnsi="Arial" w:cs="Arial"/>
          <w:sz w:val="24"/>
          <w:szCs w:val="24"/>
        </w:rPr>
        <w:t xml:space="preserve">, </w:t>
      </w:r>
      <w:r w:rsidR="007C1D51" w:rsidRPr="00AF652D">
        <w:rPr>
          <w:rFonts w:ascii="Arial" w:hAnsi="Arial" w:cs="Arial"/>
          <w:sz w:val="24"/>
          <w:szCs w:val="24"/>
        </w:rPr>
        <w:t>revised on a regular basis, so the claimant cannot be sure of the granting of the benefit for life. Unlike in the case of retirement benefits, the principle of protection of acquired rights shall not apply. However, it shall be noted that the regular increase and linking of the amount of the benefit to inflation is guaranteed, as in the case of retirement benefits.</w:t>
      </w:r>
      <w:r w:rsidR="007C1D51" w:rsidRPr="00AF652D">
        <w:rPr>
          <w:rStyle w:val="FootnoteReference"/>
          <w:rFonts w:ascii="Arial" w:hAnsi="Arial" w:cs="Arial"/>
          <w:sz w:val="24"/>
          <w:szCs w:val="24"/>
        </w:rPr>
        <w:footnoteReference w:id="46"/>
      </w:r>
    </w:p>
    <w:p w:rsidR="00A81D53" w:rsidRPr="00AF652D" w:rsidRDefault="00A81D53" w:rsidP="00AB2326">
      <w:pPr>
        <w:spacing w:after="0" w:line="240" w:lineRule="auto"/>
        <w:jc w:val="both"/>
        <w:rPr>
          <w:rFonts w:ascii="Arial" w:hAnsi="Arial" w:cs="Arial"/>
          <w:sz w:val="24"/>
          <w:szCs w:val="24"/>
        </w:rPr>
      </w:pPr>
    </w:p>
    <w:p w:rsidR="00A81D53" w:rsidRPr="00AF652D" w:rsidRDefault="00A81D53" w:rsidP="00AB2326">
      <w:pPr>
        <w:pStyle w:val="ListParagraph"/>
        <w:numPr>
          <w:ilvl w:val="0"/>
          <w:numId w:val="24"/>
        </w:numPr>
        <w:spacing w:after="0" w:line="240" w:lineRule="auto"/>
        <w:ind w:left="567" w:hanging="567"/>
        <w:jc w:val="both"/>
        <w:rPr>
          <w:rFonts w:ascii="Arial" w:hAnsi="Arial" w:cs="Arial"/>
          <w:sz w:val="24"/>
          <w:szCs w:val="24"/>
        </w:rPr>
      </w:pPr>
      <w:r w:rsidRPr="00AF652D">
        <w:rPr>
          <w:rFonts w:ascii="Arial" w:hAnsi="Arial" w:cs="Arial"/>
          <w:sz w:val="24"/>
          <w:szCs w:val="24"/>
        </w:rPr>
        <w:t xml:space="preserve">Public Works </w:t>
      </w:r>
      <w:r w:rsidR="00B81FF7" w:rsidRPr="00AF652D">
        <w:rPr>
          <w:rFonts w:ascii="Arial" w:hAnsi="Arial" w:cs="Arial"/>
          <w:sz w:val="24"/>
          <w:szCs w:val="24"/>
        </w:rPr>
        <w:t>S</w:t>
      </w:r>
      <w:r w:rsidRPr="00AF652D">
        <w:rPr>
          <w:rFonts w:ascii="Arial" w:hAnsi="Arial" w:cs="Arial"/>
          <w:sz w:val="24"/>
          <w:szCs w:val="24"/>
        </w:rPr>
        <w:t>cheme</w:t>
      </w:r>
      <w:r w:rsidR="00AE420E" w:rsidRPr="00AF652D">
        <w:rPr>
          <w:rFonts w:ascii="Arial" w:hAnsi="Arial" w:cs="Arial"/>
          <w:sz w:val="24"/>
          <w:szCs w:val="24"/>
        </w:rPr>
        <w:t xml:space="preserve"> </w:t>
      </w:r>
      <w:r w:rsidR="006B5F0F" w:rsidRPr="00AF652D">
        <w:rPr>
          <w:rFonts w:ascii="Arial" w:hAnsi="Arial" w:cs="Arial"/>
          <w:sz w:val="24"/>
          <w:szCs w:val="24"/>
        </w:rPr>
        <w:t>(hereinafter: PWS)</w:t>
      </w:r>
    </w:p>
    <w:p w:rsidR="00AB2326" w:rsidRPr="00AF652D" w:rsidRDefault="00AB2326" w:rsidP="00AB2326">
      <w:pPr>
        <w:spacing w:after="0" w:line="240" w:lineRule="auto"/>
        <w:jc w:val="both"/>
        <w:rPr>
          <w:rFonts w:ascii="Arial" w:hAnsi="Arial" w:cs="Arial"/>
          <w:sz w:val="24"/>
          <w:szCs w:val="24"/>
        </w:rPr>
      </w:pPr>
    </w:p>
    <w:p w:rsidR="00066FF4" w:rsidRPr="00AF652D" w:rsidRDefault="00066FF4" w:rsidP="00AB2326">
      <w:pPr>
        <w:spacing w:after="0" w:line="240" w:lineRule="auto"/>
        <w:jc w:val="both"/>
        <w:rPr>
          <w:rFonts w:ascii="Arial" w:hAnsi="Arial" w:cs="Arial"/>
          <w:sz w:val="24"/>
          <w:szCs w:val="24"/>
        </w:rPr>
      </w:pPr>
      <w:r w:rsidRPr="00AF652D">
        <w:rPr>
          <w:rFonts w:ascii="Arial" w:hAnsi="Arial" w:cs="Arial"/>
          <w:sz w:val="24"/>
          <w:szCs w:val="24"/>
        </w:rPr>
        <w:t xml:space="preserve">A new </w:t>
      </w:r>
      <w:r w:rsidR="006B5F0F" w:rsidRPr="00AF652D">
        <w:rPr>
          <w:rFonts w:ascii="Arial" w:hAnsi="Arial" w:cs="Arial"/>
          <w:sz w:val="24"/>
          <w:szCs w:val="24"/>
        </w:rPr>
        <w:t>PWS</w:t>
      </w:r>
      <w:r w:rsidRPr="00AF652D">
        <w:rPr>
          <w:rFonts w:ascii="Arial" w:hAnsi="Arial" w:cs="Arial"/>
          <w:sz w:val="24"/>
          <w:szCs w:val="24"/>
        </w:rPr>
        <w:t xml:space="preserve"> was introduced </w:t>
      </w:r>
      <w:r w:rsidR="00497E15" w:rsidRPr="00AF652D">
        <w:rPr>
          <w:rFonts w:ascii="Arial" w:hAnsi="Arial" w:cs="Arial"/>
          <w:sz w:val="24"/>
          <w:szCs w:val="24"/>
        </w:rPr>
        <w:t>in Hungary in 2011.</w:t>
      </w:r>
      <w:r w:rsidR="007C0CB6" w:rsidRPr="00AF652D">
        <w:rPr>
          <w:rStyle w:val="FootnoteReference"/>
          <w:rFonts w:ascii="Arial" w:hAnsi="Arial" w:cs="Arial"/>
          <w:sz w:val="24"/>
          <w:szCs w:val="24"/>
        </w:rPr>
        <w:footnoteReference w:id="47"/>
      </w:r>
      <w:r w:rsidR="008E666D" w:rsidRPr="00AF652D">
        <w:rPr>
          <w:rFonts w:ascii="Arial" w:hAnsi="Arial" w:cs="Arial"/>
          <w:sz w:val="24"/>
          <w:szCs w:val="24"/>
        </w:rPr>
        <w:t xml:space="preserve"> </w:t>
      </w:r>
      <w:r w:rsidR="00B07D1A" w:rsidRPr="00AF652D">
        <w:rPr>
          <w:rFonts w:ascii="Arial" w:hAnsi="Arial" w:cs="Arial"/>
          <w:sz w:val="24"/>
          <w:szCs w:val="24"/>
        </w:rPr>
        <w:t>Initially t</w:t>
      </w:r>
      <w:r w:rsidR="00497E15" w:rsidRPr="00AF652D">
        <w:rPr>
          <w:rFonts w:ascii="Arial" w:hAnsi="Arial" w:cs="Arial"/>
          <w:sz w:val="24"/>
          <w:szCs w:val="24"/>
        </w:rPr>
        <w:t xml:space="preserve">he members of two target groups may be eligible for participation in </w:t>
      </w:r>
      <w:r w:rsidR="00A81D53" w:rsidRPr="00AF652D">
        <w:rPr>
          <w:rFonts w:ascii="Arial" w:hAnsi="Arial" w:cs="Arial"/>
          <w:sz w:val="24"/>
          <w:szCs w:val="24"/>
        </w:rPr>
        <w:t xml:space="preserve">the schemes: </w:t>
      </w:r>
      <w:r w:rsidR="00B07D1A" w:rsidRPr="00AF652D">
        <w:rPr>
          <w:rFonts w:ascii="Arial" w:hAnsi="Arial" w:cs="Arial"/>
          <w:sz w:val="24"/>
          <w:szCs w:val="24"/>
        </w:rPr>
        <w:t>registered job seekers and persons receiving rehabilitation allowance (see section a)).</w:t>
      </w:r>
      <w:r w:rsidR="00AE756E" w:rsidRPr="00AF652D">
        <w:rPr>
          <w:rFonts w:ascii="Arial" w:hAnsi="Arial" w:cs="Arial"/>
          <w:sz w:val="24"/>
          <w:szCs w:val="24"/>
        </w:rPr>
        <w:t xml:space="preserve"> From 2015 </w:t>
      </w:r>
      <w:r w:rsidR="00B81FF7" w:rsidRPr="00AF652D">
        <w:rPr>
          <w:rFonts w:ascii="Arial" w:hAnsi="Arial" w:cs="Arial"/>
          <w:sz w:val="24"/>
          <w:szCs w:val="24"/>
        </w:rPr>
        <w:t xml:space="preserve">asylum-seekers may </w:t>
      </w:r>
      <w:r w:rsidR="006A72B0" w:rsidRPr="00AF652D">
        <w:rPr>
          <w:rFonts w:ascii="Arial" w:hAnsi="Arial" w:cs="Arial"/>
          <w:sz w:val="24"/>
          <w:szCs w:val="24"/>
        </w:rPr>
        <w:t xml:space="preserve">also </w:t>
      </w:r>
      <w:r w:rsidR="00B81FF7" w:rsidRPr="00AF652D">
        <w:rPr>
          <w:rFonts w:ascii="Arial" w:hAnsi="Arial" w:cs="Arial"/>
          <w:sz w:val="24"/>
          <w:szCs w:val="24"/>
        </w:rPr>
        <w:t>be involved in the programme.</w:t>
      </w:r>
      <w:r w:rsidR="006C0A45" w:rsidRPr="00AF652D">
        <w:rPr>
          <w:rStyle w:val="FootnoteReference"/>
          <w:rFonts w:ascii="Arial" w:hAnsi="Arial" w:cs="Arial"/>
          <w:sz w:val="24"/>
          <w:szCs w:val="24"/>
        </w:rPr>
        <w:footnoteReference w:id="48"/>
      </w:r>
      <w:r w:rsidR="008E666D" w:rsidRPr="00AF652D">
        <w:rPr>
          <w:rFonts w:ascii="Arial" w:hAnsi="Arial" w:cs="Arial"/>
          <w:sz w:val="24"/>
          <w:szCs w:val="24"/>
        </w:rPr>
        <w:t xml:space="preserve"> </w:t>
      </w:r>
      <w:r w:rsidR="006B5F0F" w:rsidRPr="00AF652D">
        <w:rPr>
          <w:rFonts w:ascii="Arial" w:hAnsi="Arial" w:cs="Arial"/>
          <w:sz w:val="24"/>
          <w:szCs w:val="24"/>
        </w:rPr>
        <w:t xml:space="preserve">Employees in the PWS </w:t>
      </w:r>
      <w:r w:rsidR="00B41B5E" w:rsidRPr="00AF652D">
        <w:rPr>
          <w:rFonts w:ascii="Arial" w:hAnsi="Arial" w:cs="Arial"/>
          <w:sz w:val="24"/>
          <w:szCs w:val="24"/>
        </w:rPr>
        <w:t xml:space="preserve">are </w:t>
      </w:r>
      <w:r w:rsidR="00CD18CE" w:rsidRPr="00AF652D">
        <w:rPr>
          <w:rFonts w:ascii="Arial" w:hAnsi="Arial" w:cs="Arial"/>
          <w:sz w:val="24"/>
          <w:szCs w:val="24"/>
        </w:rPr>
        <w:t>entitled to a</w:t>
      </w:r>
      <w:r w:rsidR="00FC5F1D" w:rsidRPr="00AF652D">
        <w:rPr>
          <w:rFonts w:ascii="Arial" w:hAnsi="Arial" w:cs="Arial"/>
          <w:sz w:val="24"/>
          <w:szCs w:val="24"/>
        </w:rPr>
        <w:t xml:space="preserve"> public works wage according to a binding wage scheme.</w:t>
      </w:r>
      <w:r w:rsidR="00EC14D3" w:rsidRPr="00AF652D">
        <w:rPr>
          <w:rStyle w:val="FootnoteReference"/>
          <w:rFonts w:ascii="Arial" w:hAnsi="Arial" w:cs="Arial"/>
          <w:sz w:val="24"/>
          <w:szCs w:val="24"/>
        </w:rPr>
        <w:footnoteReference w:id="49"/>
      </w:r>
      <w:r w:rsidR="008E666D" w:rsidRPr="00AF652D">
        <w:rPr>
          <w:rFonts w:ascii="Arial" w:hAnsi="Arial" w:cs="Arial"/>
          <w:sz w:val="24"/>
          <w:szCs w:val="24"/>
        </w:rPr>
        <w:t xml:space="preserve"> </w:t>
      </w:r>
      <w:r w:rsidR="00FC5F1D" w:rsidRPr="00AF652D">
        <w:rPr>
          <w:rFonts w:ascii="Arial" w:hAnsi="Arial" w:cs="Arial"/>
          <w:sz w:val="24"/>
          <w:szCs w:val="24"/>
        </w:rPr>
        <w:t xml:space="preserve">The costs of the employment, including the wages, the </w:t>
      </w:r>
      <w:r w:rsidR="00F55FB5" w:rsidRPr="00AF652D">
        <w:rPr>
          <w:rFonts w:ascii="Arial" w:hAnsi="Arial" w:cs="Arial"/>
          <w:sz w:val="24"/>
          <w:szCs w:val="24"/>
        </w:rPr>
        <w:t xml:space="preserve">related duties and other costs </w:t>
      </w:r>
      <w:r w:rsidR="00042A9B" w:rsidRPr="00AF652D">
        <w:rPr>
          <w:rFonts w:ascii="Arial" w:hAnsi="Arial" w:cs="Arial"/>
          <w:sz w:val="24"/>
          <w:szCs w:val="24"/>
        </w:rPr>
        <w:t xml:space="preserve">(e.g. transport, accommodation) </w:t>
      </w:r>
      <w:r w:rsidR="00F55FB5" w:rsidRPr="00AF652D">
        <w:rPr>
          <w:rFonts w:ascii="Arial" w:hAnsi="Arial" w:cs="Arial"/>
          <w:sz w:val="24"/>
          <w:szCs w:val="24"/>
        </w:rPr>
        <w:t>are reimbursed for the employer up to 100 %.</w:t>
      </w:r>
      <w:r w:rsidR="000672C3" w:rsidRPr="00AF652D">
        <w:rPr>
          <w:rFonts w:ascii="Arial" w:hAnsi="Arial" w:cs="Arial"/>
          <w:sz w:val="24"/>
          <w:szCs w:val="24"/>
        </w:rPr>
        <w:t xml:space="preserve"> The </w:t>
      </w:r>
      <w:r w:rsidR="002E7554" w:rsidRPr="00AF652D">
        <w:rPr>
          <w:rFonts w:ascii="Arial" w:hAnsi="Arial" w:cs="Arial"/>
          <w:sz w:val="24"/>
          <w:szCs w:val="24"/>
        </w:rPr>
        <w:t>grant</w:t>
      </w:r>
      <w:r w:rsidR="00D909DC" w:rsidRPr="00AF652D">
        <w:rPr>
          <w:rFonts w:ascii="Arial" w:hAnsi="Arial" w:cs="Arial"/>
          <w:sz w:val="24"/>
          <w:szCs w:val="24"/>
        </w:rPr>
        <w:t xml:space="preserve"> agreement</w:t>
      </w:r>
      <w:r w:rsidR="00D35B2F" w:rsidRPr="00AF652D">
        <w:rPr>
          <w:rFonts w:ascii="Arial" w:hAnsi="Arial" w:cs="Arial"/>
          <w:sz w:val="24"/>
          <w:szCs w:val="24"/>
        </w:rPr>
        <w:t>, concluded by the employer</w:t>
      </w:r>
      <w:r w:rsidR="00124A6C" w:rsidRPr="00AF652D">
        <w:rPr>
          <w:rFonts w:ascii="Arial" w:hAnsi="Arial" w:cs="Arial"/>
          <w:sz w:val="24"/>
          <w:szCs w:val="24"/>
        </w:rPr>
        <w:t xml:space="preserve"> and the district office</w:t>
      </w:r>
      <w:r w:rsidR="00AF2310" w:rsidRPr="00AF652D">
        <w:rPr>
          <w:rFonts w:ascii="Arial" w:hAnsi="Arial" w:cs="Arial"/>
          <w:sz w:val="24"/>
          <w:szCs w:val="24"/>
        </w:rPr>
        <w:t>,</w:t>
      </w:r>
      <w:r w:rsidR="00144FA1" w:rsidRPr="00AF652D">
        <w:rPr>
          <w:rStyle w:val="FootnoteReference"/>
          <w:rFonts w:ascii="Arial" w:hAnsi="Arial" w:cs="Arial"/>
          <w:sz w:val="24"/>
          <w:szCs w:val="24"/>
        </w:rPr>
        <w:footnoteReference w:id="50"/>
      </w:r>
      <w:r w:rsidR="00124A6C" w:rsidRPr="00AF652D">
        <w:rPr>
          <w:rFonts w:ascii="Arial" w:hAnsi="Arial" w:cs="Arial"/>
          <w:sz w:val="24"/>
          <w:szCs w:val="24"/>
        </w:rPr>
        <w:t xml:space="preserve"> provides for the conditions of the reimbursement.</w:t>
      </w:r>
      <w:r w:rsidR="006265FE" w:rsidRPr="00AF652D">
        <w:rPr>
          <w:rStyle w:val="FootnoteReference"/>
          <w:rFonts w:ascii="Arial" w:hAnsi="Arial" w:cs="Arial"/>
          <w:sz w:val="24"/>
          <w:szCs w:val="24"/>
        </w:rPr>
        <w:footnoteReference w:id="51"/>
      </w:r>
      <w:r w:rsidR="009D2FBA" w:rsidRPr="00AF652D">
        <w:rPr>
          <w:rFonts w:ascii="Arial" w:hAnsi="Arial" w:cs="Arial"/>
          <w:sz w:val="24"/>
          <w:szCs w:val="24"/>
        </w:rPr>
        <w:t xml:space="preserve"> The resource of the reimbursement is the National Employment Fund</w:t>
      </w:r>
      <w:r w:rsidR="00C54956" w:rsidRPr="00AF652D">
        <w:rPr>
          <w:rFonts w:ascii="Arial" w:hAnsi="Arial" w:cs="Arial"/>
          <w:sz w:val="24"/>
          <w:szCs w:val="24"/>
        </w:rPr>
        <w:t xml:space="preserve"> functioning as a separate fund of the national budget.</w:t>
      </w:r>
      <w:r w:rsidR="00C54956" w:rsidRPr="00AF652D">
        <w:rPr>
          <w:rStyle w:val="FootnoteReference"/>
          <w:rFonts w:ascii="Arial" w:hAnsi="Arial" w:cs="Arial"/>
          <w:sz w:val="24"/>
          <w:szCs w:val="24"/>
        </w:rPr>
        <w:footnoteReference w:id="52"/>
      </w:r>
      <w:r w:rsidR="008E666D" w:rsidRPr="00AF652D">
        <w:rPr>
          <w:rFonts w:ascii="Arial" w:hAnsi="Arial" w:cs="Arial"/>
          <w:sz w:val="24"/>
          <w:szCs w:val="24"/>
        </w:rPr>
        <w:t xml:space="preserve"> </w:t>
      </w:r>
      <w:r w:rsidR="00234E3A" w:rsidRPr="00AF652D">
        <w:rPr>
          <w:rFonts w:ascii="Arial" w:hAnsi="Arial" w:cs="Arial"/>
          <w:sz w:val="24"/>
          <w:szCs w:val="24"/>
        </w:rPr>
        <w:t>Employers are under certain circumstances also obliged to provide training programmes for the clients.</w:t>
      </w:r>
    </w:p>
    <w:p w:rsidR="00AB2326" w:rsidRPr="00AF652D" w:rsidRDefault="00AB2326" w:rsidP="00AB2326">
      <w:pPr>
        <w:spacing w:after="0" w:line="240" w:lineRule="auto"/>
        <w:jc w:val="both"/>
        <w:rPr>
          <w:rFonts w:ascii="Arial" w:hAnsi="Arial" w:cs="Arial"/>
          <w:sz w:val="24"/>
          <w:szCs w:val="24"/>
        </w:rPr>
      </w:pPr>
    </w:p>
    <w:p w:rsidR="00C04F9D" w:rsidRPr="00AF652D" w:rsidRDefault="0027628E" w:rsidP="00AB2326">
      <w:pPr>
        <w:spacing w:after="0" w:line="240" w:lineRule="auto"/>
        <w:jc w:val="both"/>
        <w:rPr>
          <w:rFonts w:ascii="Arial" w:hAnsi="Arial" w:cs="Arial"/>
          <w:sz w:val="24"/>
          <w:szCs w:val="24"/>
        </w:rPr>
      </w:pPr>
      <w:r w:rsidRPr="00AF652D">
        <w:rPr>
          <w:rFonts w:ascii="Arial" w:hAnsi="Arial" w:cs="Arial"/>
          <w:sz w:val="24"/>
          <w:szCs w:val="24"/>
        </w:rPr>
        <w:t>T</w:t>
      </w:r>
      <w:r w:rsidR="002812ED" w:rsidRPr="00AF652D">
        <w:rPr>
          <w:rFonts w:ascii="Arial" w:hAnsi="Arial" w:cs="Arial"/>
          <w:sz w:val="24"/>
          <w:szCs w:val="24"/>
        </w:rPr>
        <w:t>he client</w:t>
      </w:r>
      <w:r w:rsidRPr="00AF652D">
        <w:rPr>
          <w:rFonts w:ascii="Arial" w:hAnsi="Arial" w:cs="Arial"/>
          <w:sz w:val="24"/>
          <w:szCs w:val="24"/>
        </w:rPr>
        <w:t xml:space="preserve"> is obliged to cooperate with the </w:t>
      </w:r>
      <w:r w:rsidR="00756483" w:rsidRPr="00AF652D">
        <w:rPr>
          <w:rFonts w:ascii="Arial" w:hAnsi="Arial" w:cs="Arial"/>
          <w:sz w:val="24"/>
          <w:szCs w:val="24"/>
        </w:rPr>
        <w:t>district office.</w:t>
      </w:r>
      <w:r w:rsidR="00AE420E" w:rsidRPr="00AF652D">
        <w:rPr>
          <w:rFonts w:ascii="Arial" w:hAnsi="Arial" w:cs="Arial"/>
          <w:sz w:val="24"/>
          <w:szCs w:val="24"/>
        </w:rPr>
        <w:t xml:space="preserve"> </w:t>
      </w:r>
      <w:r w:rsidR="00F838DD" w:rsidRPr="00AF652D">
        <w:rPr>
          <w:rFonts w:ascii="Arial" w:hAnsi="Arial" w:cs="Arial"/>
          <w:sz w:val="24"/>
          <w:szCs w:val="24"/>
        </w:rPr>
        <w:t>Certain breaches</w:t>
      </w:r>
      <w:r w:rsidR="00A176EE" w:rsidRPr="00AF652D">
        <w:rPr>
          <w:rFonts w:ascii="Arial" w:hAnsi="Arial" w:cs="Arial"/>
          <w:sz w:val="24"/>
          <w:szCs w:val="24"/>
        </w:rPr>
        <w:t xml:space="preserve"> of law or the cooperation duty </w:t>
      </w:r>
      <w:r w:rsidR="00F838DD" w:rsidRPr="00AF652D">
        <w:rPr>
          <w:rFonts w:ascii="Arial" w:hAnsi="Arial" w:cs="Arial"/>
          <w:sz w:val="24"/>
          <w:szCs w:val="24"/>
        </w:rPr>
        <w:t xml:space="preserve">may lead to the exclusion from the PWS (e.g. </w:t>
      </w:r>
      <w:r w:rsidR="00FF50A7" w:rsidRPr="00AF652D">
        <w:rPr>
          <w:rFonts w:ascii="Arial" w:hAnsi="Arial" w:cs="Arial"/>
          <w:sz w:val="24"/>
          <w:szCs w:val="24"/>
        </w:rPr>
        <w:t xml:space="preserve">unjustified absence of the client’s child </w:t>
      </w:r>
      <w:r w:rsidR="0038044B" w:rsidRPr="00AF652D">
        <w:rPr>
          <w:rFonts w:ascii="Arial" w:hAnsi="Arial" w:cs="Arial"/>
          <w:sz w:val="24"/>
          <w:szCs w:val="24"/>
        </w:rPr>
        <w:t>from co</w:t>
      </w:r>
      <w:r w:rsidR="00A176EE" w:rsidRPr="00AF652D">
        <w:rPr>
          <w:rFonts w:ascii="Arial" w:hAnsi="Arial" w:cs="Arial"/>
          <w:sz w:val="24"/>
          <w:szCs w:val="24"/>
        </w:rPr>
        <w:t>mpulsory public education, perpe</w:t>
      </w:r>
      <w:r w:rsidR="0038044B" w:rsidRPr="00AF652D">
        <w:rPr>
          <w:rFonts w:ascii="Arial" w:hAnsi="Arial" w:cs="Arial"/>
          <w:sz w:val="24"/>
          <w:szCs w:val="24"/>
        </w:rPr>
        <w:t>tration of specific offences, declination of an appropriate job offer</w:t>
      </w:r>
      <w:r w:rsidR="00C6545E" w:rsidRPr="00AF652D">
        <w:rPr>
          <w:rFonts w:ascii="Arial" w:hAnsi="Arial" w:cs="Arial"/>
          <w:sz w:val="24"/>
          <w:szCs w:val="24"/>
        </w:rPr>
        <w:t xml:space="preserve">, </w:t>
      </w:r>
      <w:r w:rsidR="00651AB7" w:rsidRPr="00AF652D">
        <w:rPr>
          <w:rFonts w:ascii="Arial" w:hAnsi="Arial" w:cs="Arial"/>
          <w:sz w:val="24"/>
          <w:szCs w:val="24"/>
        </w:rPr>
        <w:t xml:space="preserve">declination of a training service offered by the district office, </w:t>
      </w:r>
      <w:r w:rsidR="00C6545E" w:rsidRPr="00AF652D">
        <w:rPr>
          <w:rFonts w:ascii="Arial" w:hAnsi="Arial" w:cs="Arial"/>
          <w:sz w:val="24"/>
          <w:szCs w:val="24"/>
        </w:rPr>
        <w:t>sanctioning termination of the public employment relationship without notice by the employer).</w:t>
      </w:r>
      <w:r w:rsidR="008A2D1A" w:rsidRPr="00AF652D">
        <w:rPr>
          <w:rStyle w:val="FootnoteReference"/>
          <w:rFonts w:ascii="Arial" w:hAnsi="Arial" w:cs="Arial"/>
          <w:sz w:val="24"/>
          <w:szCs w:val="24"/>
        </w:rPr>
        <w:footnoteReference w:id="53"/>
      </w:r>
      <w:r w:rsidR="00651AB7" w:rsidRPr="00AF652D">
        <w:rPr>
          <w:rFonts w:ascii="Arial" w:hAnsi="Arial" w:cs="Arial"/>
          <w:sz w:val="24"/>
          <w:szCs w:val="24"/>
        </w:rPr>
        <w:t xml:space="preserve"> Such an exclusion </w:t>
      </w:r>
      <w:r w:rsidR="004A702E" w:rsidRPr="00AF652D">
        <w:rPr>
          <w:rFonts w:ascii="Arial" w:hAnsi="Arial" w:cs="Arial"/>
          <w:sz w:val="24"/>
          <w:szCs w:val="24"/>
        </w:rPr>
        <w:t xml:space="preserve">may </w:t>
      </w:r>
      <w:r w:rsidR="00651AB7" w:rsidRPr="00AF652D">
        <w:rPr>
          <w:rFonts w:ascii="Arial" w:hAnsi="Arial" w:cs="Arial"/>
          <w:sz w:val="24"/>
          <w:szCs w:val="24"/>
        </w:rPr>
        <w:t>result</w:t>
      </w:r>
      <w:r w:rsidR="00C04F9D" w:rsidRPr="00AF652D">
        <w:rPr>
          <w:rFonts w:ascii="Arial" w:hAnsi="Arial" w:cs="Arial"/>
          <w:sz w:val="24"/>
          <w:szCs w:val="24"/>
        </w:rPr>
        <w:t xml:space="preserve"> in the exclusion of </w:t>
      </w:r>
      <w:r w:rsidR="00DD30F9" w:rsidRPr="00AF652D">
        <w:rPr>
          <w:rFonts w:ascii="Arial" w:hAnsi="Arial" w:cs="Arial"/>
          <w:sz w:val="24"/>
          <w:szCs w:val="24"/>
        </w:rPr>
        <w:t xml:space="preserve">passive </w:t>
      </w:r>
      <w:r w:rsidR="00C04F9D" w:rsidRPr="00AF652D">
        <w:rPr>
          <w:rFonts w:ascii="Arial" w:hAnsi="Arial" w:cs="Arial"/>
          <w:sz w:val="24"/>
          <w:szCs w:val="24"/>
        </w:rPr>
        <w:t>income substituting benefits as well.</w:t>
      </w:r>
      <w:r w:rsidR="00CF00FC" w:rsidRPr="00AF652D">
        <w:rPr>
          <w:rStyle w:val="FootnoteReference"/>
          <w:rFonts w:ascii="Arial" w:hAnsi="Arial" w:cs="Arial"/>
          <w:sz w:val="24"/>
          <w:szCs w:val="24"/>
        </w:rPr>
        <w:footnoteReference w:id="54"/>
      </w:r>
    </w:p>
    <w:p w:rsidR="00AB2326" w:rsidRPr="00AF652D" w:rsidRDefault="00AB2326" w:rsidP="00AB2326">
      <w:pPr>
        <w:spacing w:after="0" w:line="240" w:lineRule="auto"/>
        <w:jc w:val="both"/>
        <w:rPr>
          <w:rFonts w:ascii="Arial" w:hAnsi="Arial" w:cs="Arial"/>
          <w:sz w:val="24"/>
          <w:szCs w:val="24"/>
        </w:rPr>
      </w:pPr>
    </w:p>
    <w:p w:rsidR="00DD30F9" w:rsidRPr="00AF652D" w:rsidRDefault="00C04F9D" w:rsidP="00AB2326">
      <w:pPr>
        <w:spacing w:after="0" w:line="240" w:lineRule="auto"/>
        <w:jc w:val="both"/>
        <w:rPr>
          <w:rFonts w:ascii="Arial" w:hAnsi="Arial" w:cs="Arial"/>
          <w:sz w:val="24"/>
          <w:szCs w:val="24"/>
        </w:rPr>
      </w:pPr>
      <w:r w:rsidRPr="00AF652D">
        <w:rPr>
          <w:rFonts w:ascii="Arial" w:hAnsi="Arial" w:cs="Arial"/>
          <w:sz w:val="24"/>
          <w:szCs w:val="24"/>
        </w:rPr>
        <w:lastRenderedPageBreak/>
        <w:t xml:space="preserve">The primary purpose of PWS is to form a bridge for disadvantaged groups to the open labour market. </w:t>
      </w:r>
      <w:r w:rsidR="00DD30F9" w:rsidRPr="00AF652D">
        <w:rPr>
          <w:rFonts w:ascii="Arial" w:hAnsi="Arial" w:cs="Arial"/>
          <w:sz w:val="24"/>
          <w:szCs w:val="24"/>
        </w:rPr>
        <w:t xml:space="preserve">The employer is obliged to grant a leave for the client </w:t>
      </w:r>
      <w:proofErr w:type="gramStart"/>
      <w:r w:rsidR="00DD30F9" w:rsidRPr="00AF652D">
        <w:rPr>
          <w:rFonts w:ascii="Arial" w:hAnsi="Arial" w:cs="Arial"/>
          <w:sz w:val="24"/>
          <w:szCs w:val="24"/>
        </w:rPr>
        <w:t>for the purpose of</w:t>
      </w:r>
      <w:proofErr w:type="gramEnd"/>
      <w:r w:rsidR="00DD30F9" w:rsidRPr="00AF652D">
        <w:rPr>
          <w:rFonts w:ascii="Arial" w:hAnsi="Arial" w:cs="Arial"/>
          <w:sz w:val="24"/>
          <w:szCs w:val="24"/>
        </w:rPr>
        <w:t xml:space="preserve"> job interviews. Once the client establishes a fixed-term “normal” employment relationship for a</w:t>
      </w:r>
      <w:r w:rsidR="006B3158" w:rsidRPr="00AF652D">
        <w:rPr>
          <w:rFonts w:ascii="Arial" w:hAnsi="Arial" w:cs="Arial"/>
          <w:sz w:val="24"/>
          <w:szCs w:val="24"/>
        </w:rPr>
        <w:t xml:space="preserve"> duration of 3 to 120 days, the public works </w:t>
      </w:r>
      <w:r w:rsidR="00DD30F9" w:rsidRPr="00AF652D">
        <w:rPr>
          <w:rFonts w:ascii="Arial" w:hAnsi="Arial" w:cs="Arial"/>
          <w:sz w:val="24"/>
          <w:szCs w:val="24"/>
        </w:rPr>
        <w:t xml:space="preserve">employer </w:t>
      </w:r>
      <w:proofErr w:type="gramStart"/>
      <w:r w:rsidR="00DD30F9" w:rsidRPr="00AF652D">
        <w:rPr>
          <w:rFonts w:ascii="Arial" w:hAnsi="Arial" w:cs="Arial"/>
          <w:sz w:val="24"/>
          <w:szCs w:val="24"/>
        </w:rPr>
        <w:t>has to</w:t>
      </w:r>
      <w:proofErr w:type="gramEnd"/>
      <w:r w:rsidR="00DD30F9" w:rsidRPr="00AF652D">
        <w:rPr>
          <w:rFonts w:ascii="Arial" w:hAnsi="Arial" w:cs="Arial"/>
          <w:sz w:val="24"/>
          <w:szCs w:val="24"/>
        </w:rPr>
        <w:t xml:space="preserve"> ensure an unpaid leave for him/her.</w:t>
      </w:r>
      <w:r w:rsidR="00765713" w:rsidRPr="00AF652D">
        <w:rPr>
          <w:rStyle w:val="FootnoteReference"/>
          <w:rFonts w:ascii="Arial" w:hAnsi="Arial" w:cs="Arial"/>
          <w:sz w:val="24"/>
          <w:szCs w:val="24"/>
        </w:rPr>
        <w:footnoteReference w:id="55"/>
      </w:r>
    </w:p>
    <w:p w:rsidR="00AB2326" w:rsidRPr="00AF652D" w:rsidRDefault="00AB2326" w:rsidP="00AB2326">
      <w:pPr>
        <w:spacing w:after="0" w:line="240" w:lineRule="auto"/>
        <w:jc w:val="both"/>
        <w:rPr>
          <w:rFonts w:ascii="Arial" w:hAnsi="Arial" w:cs="Arial"/>
          <w:sz w:val="24"/>
          <w:szCs w:val="24"/>
        </w:rPr>
      </w:pPr>
    </w:p>
    <w:p w:rsidR="00DD30F9" w:rsidRPr="00AF652D" w:rsidRDefault="00DD30F9" w:rsidP="00AB2326">
      <w:pPr>
        <w:spacing w:after="0" w:line="240" w:lineRule="auto"/>
        <w:jc w:val="both"/>
        <w:rPr>
          <w:rFonts w:ascii="Arial" w:hAnsi="Arial" w:cs="Arial"/>
          <w:sz w:val="24"/>
          <w:szCs w:val="24"/>
        </w:rPr>
      </w:pPr>
      <w:r w:rsidRPr="00AF652D">
        <w:rPr>
          <w:rFonts w:ascii="Arial" w:hAnsi="Arial" w:cs="Arial"/>
          <w:sz w:val="24"/>
          <w:szCs w:val="24"/>
        </w:rPr>
        <w:t xml:space="preserve">The outcomes of the Hungarian PWS </w:t>
      </w:r>
      <w:r w:rsidR="006B3158" w:rsidRPr="00AF652D">
        <w:rPr>
          <w:rFonts w:ascii="Arial" w:hAnsi="Arial" w:cs="Arial"/>
          <w:sz w:val="24"/>
          <w:szCs w:val="24"/>
        </w:rPr>
        <w:t>are</w:t>
      </w:r>
      <w:r w:rsidRPr="00AF652D">
        <w:rPr>
          <w:rFonts w:ascii="Arial" w:hAnsi="Arial" w:cs="Arial"/>
          <w:sz w:val="24"/>
          <w:szCs w:val="24"/>
        </w:rPr>
        <w:t xml:space="preserve"> controversially </w:t>
      </w:r>
      <w:r w:rsidR="00AB2326" w:rsidRPr="00AF652D">
        <w:rPr>
          <w:rFonts w:ascii="Arial" w:hAnsi="Arial" w:cs="Arial"/>
          <w:sz w:val="24"/>
          <w:szCs w:val="24"/>
        </w:rPr>
        <w:t>assessed by different analyses.</w:t>
      </w:r>
    </w:p>
    <w:p w:rsidR="00AB2326" w:rsidRPr="00AF652D" w:rsidRDefault="00AB2326" w:rsidP="00AB2326">
      <w:pPr>
        <w:spacing w:after="0" w:line="240" w:lineRule="auto"/>
        <w:jc w:val="both"/>
        <w:rPr>
          <w:rFonts w:ascii="Arial" w:hAnsi="Arial" w:cs="Arial"/>
          <w:sz w:val="24"/>
          <w:szCs w:val="24"/>
        </w:rPr>
      </w:pPr>
    </w:p>
    <w:p w:rsidR="00DD30F9" w:rsidRDefault="00DD30F9" w:rsidP="00AB2326">
      <w:pPr>
        <w:spacing w:after="0" w:line="240" w:lineRule="auto"/>
        <w:jc w:val="both"/>
        <w:rPr>
          <w:rFonts w:ascii="Arial" w:hAnsi="Arial" w:cs="Arial"/>
          <w:sz w:val="24"/>
          <w:szCs w:val="24"/>
        </w:rPr>
      </w:pPr>
      <w:r w:rsidRPr="00AF652D">
        <w:rPr>
          <w:rFonts w:ascii="Arial" w:hAnsi="Arial" w:cs="Arial"/>
          <w:sz w:val="24"/>
          <w:szCs w:val="24"/>
        </w:rPr>
        <w:t xml:space="preserve">The Hungarian government considers that PWS is </w:t>
      </w:r>
      <w:proofErr w:type="gramStart"/>
      <w:r w:rsidR="005E3CED" w:rsidRPr="00AF652D">
        <w:rPr>
          <w:rFonts w:ascii="Arial" w:hAnsi="Arial" w:cs="Arial"/>
          <w:sz w:val="24"/>
          <w:szCs w:val="24"/>
        </w:rPr>
        <w:t xml:space="preserve">generally speaking </w:t>
      </w:r>
      <w:r w:rsidRPr="00AF652D">
        <w:rPr>
          <w:rFonts w:ascii="Arial" w:hAnsi="Arial" w:cs="Arial"/>
          <w:sz w:val="24"/>
          <w:szCs w:val="24"/>
        </w:rPr>
        <w:t>successful</w:t>
      </w:r>
      <w:proofErr w:type="gramEnd"/>
      <w:r w:rsidR="00317102" w:rsidRPr="00AF652D">
        <w:rPr>
          <w:rFonts w:ascii="Arial" w:hAnsi="Arial" w:cs="Arial"/>
          <w:sz w:val="24"/>
          <w:szCs w:val="24"/>
        </w:rPr>
        <w:t xml:space="preserve">. A study conducted by the Ministry of National Economy in 2015 </w:t>
      </w:r>
      <w:r w:rsidR="006443AD" w:rsidRPr="00AF652D">
        <w:rPr>
          <w:rFonts w:ascii="Arial" w:hAnsi="Arial" w:cs="Arial"/>
          <w:sz w:val="24"/>
          <w:szCs w:val="24"/>
        </w:rPr>
        <w:t>suggested that</w:t>
      </w:r>
      <w:r w:rsidR="00320E21" w:rsidRPr="00AF652D">
        <w:rPr>
          <w:rFonts w:ascii="Arial" w:hAnsi="Arial" w:cs="Arial"/>
          <w:sz w:val="24"/>
          <w:szCs w:val="24"/>
        </w:rPr>
        <w:t>, although</w:t>
      </w:r>
      <w:r w:rsidR="006443AD" w:rsidRPr="00AF652D">
        <w:rPr>
          <w:rFonts w:ascii="Arial" w:hAnsi="Arial" w:cs="Arial"/>
          <w:sz w:val="24"/>
          <w:szCs w:val="24"/>
        </w:rPr>
        <w:t xml:space="preserve"> PWS has no impact on most of the companies (86,7%), </w:t>
      </w:r>
      <w:r w:rsidR="00EF56BD" w:rsidRPr="00AF652D">
        <w:rPr>
          <w:rFonts w:ascii="Arial" w:hAnsi="Arial" w:cs="Arial"/>
          <w:sz w:val="24"/>
          <w:szCs w:val="24"/>
        </w:rPr>
        <w:t>the rest of the companies</w:t>
      </w:r>
      <w:r w:rsidR="00AE420E" w:rsidRPr="00AF652D">
        <w:rPr>
          <w:rFonts w:ascii="Arial" w:hAnsi="Arial" w:cs="Arial"/>
          <w:sz w:val="24"/>
          <w:szCs w:val="24"/>
        </w:rPr>
        <w:t xml:space="preserve"> </w:t>
      </w:r>
      <w:r w:rsidR="00EF56BD" w:rsidRPr="00AF652D">
        <w:rPr>
          <w:rFonts w:ascii="Arial" w:hAnsi="Arial" w:cs="Arial"/>
          <w:sz w:val="24"/>
          <w:szCs w:val="24"/>
        </w:rPr>
        <w:t>(13,3 %)</w:t>
      </w:r>
      <w:r w:rsidR="003D4629" w:rsidRPr="00AF652D">
        <w:rPr>
          <w:rFonts w:ascii="Arial" w:hAnsi="Arial" w:cs="Arial"/>
          <w:sz w:val="24"/>
          <w:szCs w:val="24"/>
        </w:rPr>
        <w:t xml:space="preserve">increasingly </w:t>
      </w:r>
      <w:r w:rsidR="00C57570" w:rsidRPr="00AF652D">
        <w:rPr>
          <w:rFonts w:ascii="Arial" w:hAnsi="Arial" w:cs="Arial"/>
          <w:sz w:val="24"/>
          <w:szCs w:val="24"/>
        </w:rPr>
        <w:t>experience</w:t>
      </w:r>
      <w:r w:rsidR="00EF56BD" w:rsidRPr="00AF652D">
        <w:rPr>
          <w:rFonts w:ascii="Arial" w:hAnsi="Arial" w:cs="Arial"/>
          <w:sz w:val="24"/>
          <w:szCs w:val="24"/>
        </w:rPr>
        <w:t>s</w:t>
      </w:r>
      <w:r w:rsidR="00AE420E" w:rsidRPr="00AF652D">
        <w:rPr>
          <w:rFonts w:ascii="Arial" w:hAnsi="Arial" w:cs="Arial"/>
          <w:sz w:val="24"/>
          <w:szCs w:val="24"/>
        </w:rPr>
        <w:t xml:space="preserve"> </w:t>
      </w:r>
      <w:r w:rsidR="00C57570" w:rsidRPr="00AF652D">
        <w:rPr>
          <w:rFonts w:ascii="Arial" w:hAnsi="Arial" w:cs="Arial"/>
          <w:sz w:val="24"/>
          <w:szCs w:val="24"/>
        </w:rPr>
        <w:t>either the negative</w:t>
      </w:r>
      <w:r w:rsidR="00EF56BD" w:rsidRPr="00AF652D">
        <w:rPr>
          <w:rFonts w:ascii="Arial" w:hAnsi="Arial" w:cs="Arial"/>
          <w:sz w:val="24"/>
          <w:szCs w:val="24"/>
        </w:rPr>
        <w:t xml:space="preserve"> or the positive effects of the PWS</w:t>
      </w:r>
      <w:r w:rsidR="003D4629" w:rsidRPr="00AF652D">
        <w:rPr>
          <w:rFonts w:ascii="Arial" w:hAnsi="Arial" w:cs="Arial"/>
          <w:sz w:val="24"/>
          <w:szCs w:val="24"/>
        </w:rPr>
        <w:t xml:space="preserve">. </w:t>
      </w:r>
      <w:r w:rsidR="003D579A" w:rsidRPr="00AF652D">
        <w:rPr>
          <w:rFonts w:ascii="Arial" w:hAnsi="Arial" w:cs="Arial"/>
          <w:sz w:val="24"/>
          <w:szCs w:val="24"/>
        </w:rPr>
        <w:t xml:space="preserve">Among the </w:t>
      </w:r>
      <w:r w:rsidR="003D4629" w:rsidRPr="00AF652D">
        <w:rPr>
          <w:rFonts w:ascii="Arial" w:hAnsi="Arial" w:cs="Arial"/>
          <w:sz w:val="24"/>
          <w:szCs w:val="24"/>
        </w:rPr>
        <w:t>negative effect</w:t>
      </w:r>
      <w:r w:rsidR="00A834AE" w:rsidRPr="00AF652D">
        <w:rPr>
          <w:rFonts w:ascii="Arial" w:hAnsi="Arial" w:cs="Arial"/>
          <w:sz w:val="24"/>
          <w:szCs w:val="24"/>
        </w:rPr>
        <w:t>s</w:t>
      </w:r>
      <w:r w:rsidR="003D579A" w:rsidRPr="00AF652D">
        <w:rPr>
          <w:rFonts w:ascii="Arial" w:hAnsi="Arial" w:cs="Arial"/>
          <w:sz w:val="24"/>
          <w:szCs w:val="24"/>
        </w:rPr>
        <w:t>, the interviewed companies referred to the fact that the PWS</w:t>
      </w:r>
      <w:r w:rsidR="000872E1" w:rsidRPr="00AF652D">
        <w:rPr>
          <w:rFonts w:ascii="Arial" w:hAnsi="Arial" w:cs="Arial"/>
          <w:sz w:val="24"/>
          <w:szCs w:val="24"/>
        </w:rPr>
        <w:t xml:space="preserve"> drains labour force from </w:t>
      </w:r>
      <w:r w:rsidR="008F6C42" w:rsidRPr="00AF652D">
        <w:rPr>
          <w:rFonts w:ascii="Arial" w:hAnsi="Arial" w:cs="Arial"/>
          <w:sz w:val="24"/>
          <w:szCs w:val="24"/>
        </w:rPr>
        <w:t>and produces higher wage costs</w:t>
      </w:r>
      <w:r w:rsidR="00AE420E" w:rsidRPr="00AF652D">
        <w:rPr>
          <w:rFonts w:ascii="Arial" w:hAnsi="Arial" w:cs="Arial"/>
          <w:sz w:val="24"/>
          <w:szCs w:val="24"/>
        </w:rPr>
        <w:t xml:space="preserve"> </w:t>
      </w:r>
      <w:r w:rsidR="008F6C42" w:rsidRPr="00AF652D">
        <w:rPr>
          <w:rFonts w:ascii="Arial" w:hAnsi="Arial" w:cs="Arial"/>
          <w:sz w:val="24"/>
          <w:szCs w:val="24"/>
        </w:rPr>
        <w:t xml:space="preserve">on </w:t>
      </w:r>
      <w:r w:rsidR="00A834AE" w:rsidRPr="00AF652D">
        <w:rPr>
          <w:rFonts w:ascii="Arial" w:hAnsi="Arial" w:cs="Arial"/>
          <w:sz w:val="24"/>
          <w:szCs w:val="24"/>
        </w:rPr>
        <w:t xml:space="preserve">the </w:t>
      </w:r>
      <w:r w:rsidR="008F6C42" w:rsidRPr="00AF652D">
        <w:rPr>
          <w:rFonts w:ascii="Arial" w:hAnsi="Arial" w:cs="Arial"/>
          <w:sz w:val="24"/>
          <w:szCs w:val="24"/>
        </w:rPr>
        <w:t>open labour market</w:t>
      </w:r>
      <w:r w:rsidR="00353F64" w:rsidRPr="00AF652D">
        <w:rPr>
          <w:rFonts w:ascii="Arial" w:hAnsi="Arial" w:cs="Arial"/>
          <w:sz w:val="24"/>
          <w:szCs w:val="24"/>
        </w:rPr>
        <w:t xml:space="preserve"> in the branches primarily affected by</w:t>
      </w:r>
      <w:r w:rsidR="00AE420E" w:rsidRPr="00AF652D">
        <w:rPr>
          <w:rFonts w:ascii="Arial" w:hAnsi="Arial" w:cs="Arial"/>
          <w:sz w:val="24"/>
          <w:szCs w:val="24"/>
        </w:rPr>
        <w:t xml:space="preserve"> </w:t>
      </w:r>
      <w:r w:rsidR="00353F64" w:rsidRPr="00AF652D">
        <w:rPr>
          <w:rFonts w:ascii="Arial" w:hAnsi="Arial" w:cs="Arial"/>
          <w:sz w:val="24"/>
          <w:szCs w:val="24"/>
        </w:rPr>
        <w:t>PWS</w:t>
      </w:r>
      <w:r w:rsidR="008F6C42" w:rsidRPr="00AF652D">
        <w:rPr>
          <w:rFonts w:ascii="Arial" w:hAnsi="Arial" w:cs="Arial"/>
          <w:sz w:val="24"/>
          <w:szCs w:val="24"/>
        </w:rPr>
        <w:t xml:space="preserve">. </w:t>
      </w:r>
      <w:r w:rsidR="00353F64" w:rsidRPr="00AF652D">
        <w:rPr>
          <w:rFonts w:ascii="Arial" w:hAnsi="Arial" w:cs="Arial"/>
          <w:sz w:val="24"/>
          <w:szCs w:val="24"/>
        </w:rPr>
        <w:t xml:space="preserve">(On the side of </w:t>
      </w:r>
      <w:proofErr w:type="gramStart"/>
      <w:r w:rsidR="00353F64" w:rsidRPr="00AF652D">
        <w:rPr>
          <w:rFonts w:ascii="Arial" w:hAnsi="Arial" w:cs="Arial"/>
          <w:sz w:val="24"/>
          <w:szCs w:val="24"/>
        </w:rPr>
        <w:t>employees</w:t>
      </w:r>
      <w:proofErr w:type="gramEnd"/>
      <w:r w:rsidR="00353F64" w:rsidRPr="00AF652D">
        <w:rPr>
          <w:rFonts w:ascii="Arial" w:hAnsi="Arial" w:cs="Arial"/>
          <w:sz w:val="24"/>
          <w:szCs w:val="24"/>
        </w:rPr>
        <w:t xml:space="preserve"> </w:t>
      </w:r>
      <w:r w:rsidR="008209D1" w:rsidRPr="00AF652D">
        <w:rPr>
          <w:rFonts w:ascii="Arial" w:hAnsi="Arial" w:cs="Arial"/>
          <w:sz w:val="24"/>
          <w:szCs w:val="24"/>
        </w:rPr>
        <w:t xml:space="preserve">higher </w:t>
      </w:r>
      <w:r w:rsidR="00935F42" w:rsidRPr="00AF652D">
        <w:rPr>
          <w:rFonts w:ascii="Arial" w:hAnsi="Arial" w:cs="Arial"/>
          <w:sz w:val="24"/>
          <w:szCs w:val="24"/>
        </w:rPr>
        <w:t xml:space="preserve">level of </w:t>
      </w:r>
      <w:r w:rsidR="008209D1" w:rsidRPr="00AF652D">
        <w:rPr>
          <w:rFonts w:ascii="Arial" w:hAnsi="Arial" w:cs="Arial"/>
          <w:sz w:val="24"/>
          <w:szCs w:val="24"/>
        </w:rPr>
        <w:t xml:space="preserve">wages can be considered as a positive outcome of the system.) </w:t>
      </w:r>
      <w:r w:rsidR="00353F64" w:rsidRPr="00AF652D">
        <w:rPr>
          <w:rFonts w:ascii="Arial" w:hAnsi="Arial" w:cs="Arial"/>
          <w:sz w:val="24"/>
          <w:szCs w:val="24"/>
        </w:rPr>
        <w:t>In terms of the</w:t>
      </w:r>
      <w:r w:rsidR="00A834AE" w:rsidRPr="00AF652D">
        <w:rPr>
          <w:rFonts w:ascii="Arial" w:hAnsi="Arial" w:cs="Arial"/>
          <w:sz w:val="24"/>
          <w:szCs w:val="24"/>
        </w:rPr>
        <w:t xml:space="preserve"> positive effects</w:t>
      </w:r>
      <w:r w:rsidR="00353F64" w:rsidRPr="00AF652D">
        <w:rPr>
          <w:rFonts w:ascii="Arial" w:hAnsi="Arial" w:cs="Arial"/>
          <w:sz w:val="24"/>
          <w:szCs w:val="24"/>
        </w:rPr>
        <w:t xml:space="preserve">, </w:t>
      </w:r>
      <w:r w:rsidR="00717255" w:rsidRPr="00AF652D">
        <w:rPr>
          <w:rFonts w:ascii="Arial" w:hAnsi="Arial" w:cs="Arial"/>
          <w:sz w:val="24"/>
          <w:szCs w:val="24"/>
        </w:rPr>
        <w:t xml:space="preserve">some </w:t>
      </w:r>
      <w:r w:rsidR="00353F64" w:rsidRPr="00AF652D">
        <w:rPr>
          <w:rFonts w:ascii="Arial" w:hAnsi="Arial" w:cs="Arial"/>
          <w:sz w:val="24"/>
          <w:szCs w:val="24"/>
        </w:rPr>
        <w:t xml:space="preserve">companies reported </w:t>
      </w:r>
      <w:r w:rsidR="00717255" w:rsidRPr="00AF652D">
        <w:rPr>
          <w:rFonts w:ascii="Arial" w:hAnsi="Arial" w:cs="Arial"/>
          <w:sz w:val="24"/>
          <w:szCs w:val="24"/>
        </w:rPr>
        <w:t xml:space="preserve">that they have good experiences </w:t>
      </w:r>
      <w:r w:rsidR="002951C3" w:rsidRPr="00AF652D">
        <w:rPr>
          <w:rFonts w:ascii="Arial" w:hAnsi="Arial" w:cs="Arial"/>
          <w:sz w:val="24"/>
          <w:szCs w:val="24"/>
        </w:rPr>
        <w:t xml:space="preserve">about </w:t>
      </w:r>
      <w:r w:rsidR="00717255" w:rsidRPr="00AF652D">
        <w:rPr>
          <w:rFonts w:ascii="Arial" w:hAnsi="Arial" w:cs="Arial"/>
          <w:sz w:val="24"/>
          <w:szCs w:val="24"/>
        </w:rPr>
        <w:t xml:space="preserve">the working skills of workers previously participated in public works. </w:t>
      </w:r>
      <w:r w:rsidR="00E31FFD" w:rsidRPr="00AF652D">
        <w:rPr>
          <w:rFonts w:ascii="Arial" w:hAnsi="Arial" w:cs="Arial"/>
          <w:sz w:val="24"/>
          <w:szCs w:val="24"/>
        </w:rPr>
        <w:t>Some</w:t>
      </w:r>
      <w:r w:rsidR="00C6326C" w:rsidRPr="00AF652D">
        <w:rPr>
          <w:rFonts w:ascii="Arial" w:hAnsi="Arial" w:cs="Arial"/>
          <w:sz w:val="24"/>
          <w:szCs w:val="24"/>
        </w:rPr>
        <w:t xml:space="preserve"> companies indicated that the increased income of persons working in PWS </w:t>
      </w:r>
      <w:r w:rsidR="00074ED9" w:rsidRPr="00AF652D">
        <w:rPr>
          <w:rFonts w:ascii="Arial" w:hAnsi="Arial" w:cs="Arial"/>
          <w:sz w:val="24"/>
          <w:szCs w:val="24"/>
        </w:rPr>
        <w:t>has a stimulati</w:t>
      </w:r>
      <w:r w:rsidR="00E31FFD" w:rsidRPr="00AF652D">
        <w:rPr>
          <w:rFonts w:ascii="Arial" w:hAnsi="Arial" w:cs="Arial"/>
          <w:sz w:val="24"/>
          <w:szCs w:val="24"/>
        </w:rPr>
        <w:t>ng</w:t>
      </w:r>
      <w:r w:rsidR="00AE420E" w:rsidRPr="00AF652D">
        <w:rPr>
          <w:rFonts w:ascii="Arial" w:hAnsi="Arial" w:cs="Arial"/>
          <w:sz w:val="24"/>
          <w:szCs w:val="24"/>
        </w:rPr>
        <w:t xml:space="preserve"> </w:t>
      </w:r>
      <w:r w:rsidR="00074ED9" w:rsidRPr="00AF652D">
        <w:rPr>
          <w:rFonts w:ascii="Arial" w:hAnsi="Arial" w:cs="Arial"/>
          <w:sz w:val="24"/>
          <w:szCs w:val="24"/>
        </w:rPr>
        <w:t>impact on the</w:t>
      </w:r>
      <w:r w:rsidR="00E42DC8" w:rsidRPr="00AF652D">
        <w:rPr>
          <w:rFonts w:ascii="Arial" w:hAnsi="Arial" w:cs="Arial"/>
          <w:sz w:val="24"/>
          <w:szCs w:val="24"/>
        </w:rPr>
        <w:t>ir turnover</w:t>
      </w:r>
      <w:r w:rsidR="00A61CE6" w:rsidRPr="00AF652D">
        <w:rPr>
          <w:rFonts w:ascii="Arial" w:hAnsi="Arial" w:cs="Arial"/>
          <w:sz w:val="24"/>
          <w:szCs w:val="24"/>
        </w:rPr>
        <w:t>.</w:t>
      </w:r>
      <w:r w:rsidR="00F63680" w:rsidRPr="00AF652D">
        <w:rPr>
          <w:rStyle w:val="FootnoteReference"/>
          <w:rFonts w:ascii="Arial" w:hAnsi="Arial" w:cs="Arial"/>
          <w:sz w:val="24"/>
          <w:szCs w:val="24"/>
        </w:rPr>
        <w:footnoteReference w:id="56"/>
      </w:r>
    </w:p>
    <w:p w:rsidR="00082E2C" w:rsidRPr="00AF652D" w:rsidRDefault="00082E2C" w:rsidP="00AB2326">
      <w:pPr>
        <w:spacing w:after="0" w:line="240" w:lineRule="auto"/>
        <w:jc w:val="both"/>
        <w:rPr>
          <w:rFonts w:ascii="Arial" w:hAnsi="Arial" w:cs="Arial"/>
          <w:sz w:val="24"/>
          <w:szCs w:val="24"/>
        </w:rPr>
      </w:pPr>
    </w:p>
    <w:p w:rsidR="00A61CE6" w:rsidRDefault="00A61CE6" w:rsidP="00AB2326">
      <w:pPr>
        <w:spacing w:after="0" w:line="240" w:lineRule="auto"/>
        <w:jc w:val="both"/>
        <w:rPr>
          <w:rFonts w:ascii="Arial" w:hAnsi="Arial" w:cs="Arial"/>
          <w:sz w:val="24"/>
          <w:szCs w:val="24"/>
        </w:rPr>
      </w:pPr>
      <w:r w:rsidRPr="00AF652D">
        <w:rPr>
          <w:rFonts w:ascii="Arial" w:hAnsi="Arial" w:cs="Arial"/>
          <w:sz w:val="24"/>
          <w:szCs w:val="24"/>
        </w:rPr>
        <w:t xml:space="preserve">On the contrary, the European Commission highlighted </w:t>
      </w:r>
      <w:r w:rsidR="00D634CC" w:rsidRPr="00AF652D">
        <w:rPr>
          <w:rFonts w:ascii="Arial" w:hAnsi="Arial" w:cs="Arial"/>
          <w:sz w:val="24"/>
          <w:szCs w:val="24"/>
        </w:rPr>
        <w:t xml:space="preserve">rather the negative </w:t>
      </w:r>
      <w:r w:rsidR="00077A2A" w:rsidRPr="00AF652D">
        <w:rPr>
          <w:rFonts w:ascii="Arial" w:hAnsi="Arial" w:cs="Arial"/>
          <w:sz w:val="24"/>
          <w:szCs w:val="24"/>
        </w:rPr>
        <w:t>impacts</w:t>
      </w:r>
      <w:r w:rsidR="00D634CC" w:rsidRPr="00AF652D">
        <w:rPr>
          <w:rFonts w:ascii="Arial" w:hAnsi="Arial" w:cs="Arial"/>
          <w:sz w:val="24"/>
          <w:szCs w:val="24"/>
        </w:rPr>
        <w:t xml:space="preserve"> of the Hungarian PWS. The Country Report 2016 establishes the following facts concerning PWS.</w:t>
      </w:r>
    </w:p>
    <w:p w:rsidR="00082E2C" w:rsidRPr="00AF652D" w:rsidRDefault="00082E2C" w:rsidP="00AB2326">
      <w:pPr>
        <w:spacing w:after="0" w:line="240" w:lineRule="auto"/>
        <w:jc w:val="both"/>
        <w:rPr>
          <w:rFonts w:ascii="Arial" w:hAnsi="Arial" w:cs="Arial"/>
          <w:sz w:val="24"/>
          <w:szCs w:val="24"/>
        </w:rPr>
      </w:pPr>
    </w:p>
    <w:p w:rsidR="00D634CC" w:rsidRPr="00AF652D" w:rsidRDefault="00D634CC" w:rsidP="00AB2326">
      <w:pPr>
        <w:pStyle w:val="Default"/>
        <w:jc w:val="both"/>
        <w:rPr>
          <w:rFonts w:ascii="Arial" w:hAnsi="Arial" w:cs="Arial"/>
          <w:lang w:val="en-GB"/>
        </w:rPr>
      </w:pPr>
      <w:r w:rsidRPr="00AF652D">
        <w:rPr>
          <w:rFonts w:ascii="Arial" w:hAnsi="Arial" w:cs="Arial"/>
          <w:lang w:val="en-GB"/>
        </w:rPr>
        <w:t>“</w:t>
      </w:r>
      <w:r w:rsidRPr="00AF652D">
        <w:rPr>
          <w:rFonts w:ascii="Arial" w:hAnsi="Arial" w:cs="Arial"/>
          <w:bCs/>
          <w:lang w:val="en-GB"/>
        </w:rPr>
        <w:t>The public works scheme does not sufficiently support the reintegration of participants into the open labour market</w:t>
      </w:r>
      <w:r w:rsidRPr="00AF652D">
        <w:rPr>
          <w:rFonts w:ascii="Arial" w:hAnsi="Arial" w:cs="Arial"/>
          <w:lang w:val="en-GB"/>
        </w:rPr>
        <w:t>. Th</w:t>
      </w:r>
      <w:r w:rsidR="00AF652D">
        <w:rPr>
          <w:rFonts w:ascii="Arial" w:hAnsi="Arial" w:cs="Arial"/>
          <w:lang w:val="en-GB"/>
        </w:rPr>
        <w:t>e</w:t>
      </w:r>
      <w:r w:rsidRPr="00AF652D">
        <w:rPr>
          <w:rFonts w:ascii="Arial" w:hAnsi="Arial" w:cs="Arial"/>
          <w:lang w:val="en-GB"/>
        </w:rPr>
        <w:t>s</w:t>
      </w:r>
      <w:r w:rsidR="00AF652D">
        <w:rPr>
          <w:rFonts w:ascii="Arial" w:hAnsi="Arial" w:cs="Arial"/>
          <w:lang w:val="en-GB"/>
        </w:rPr>
        <w:t>e</w:t>
      </w:r>
      <w:r w:rsidRPr="00AF652D">
        <w:rPr>
          <w:rFonts w:ascii="Arial" w:hAnsi="Arial" w:cs="Arial"/>
          <w:lang w:val="en-GB"/>
        </w:rPr>
        <w:t xml:space="preserve"> risks locking participants into the scheme. According to the Hungarian authorities, the rate of successful exit from the scheme was 12.6% in 2014 and 13.1% in the first half of 2015. 60.5% of individuals who left the scheme during the first half of 2015 were again in public works after 180 days. Other ALMP </w:t>
      </w:r>
      <w:r w:rsidR="00037F56" w:rsidRPr="00AF652D">
        <w:rPr>
          <w:rFonts w:ascii="Arial" w:hAnsi="Arial" w:cs="Arial"/>
          <w:lang w:val="en-GB"/>
        </w:rPr>
        <w:t xml:space="preserve">[active labour market policies – </w:t>
      </w:r>
      <w:proofErr w:type="spellStart"/>
      <w:r w:rsidR="00037F56" w:rsidRPr="00AF652D">
        <w:rPr>
          <w:rFonts w:ascii="Arial" w:hAnsi="Arial" w:cs="Arial"/>
          <w:lang w:val="en-GB"/>
        </w:rPr>
        <w:t>Sz.H</w:t>
      </w:r>
      <w:proofErr w:type="spellEnd"/>
      <w:r w:rsidR="00037F56" w:rsidRPr="00AF652D">
        <w:rPr>
          <w:rFonts w:ascii="Arial" w:hAnsi="Arial" w:cs="Arial"/>
          <w:lang w:val="en-GB"/>
        </w:rPr>
        <w:t xml:space="preserve">. and </w:t>
      </w:r>
      <w:proofErr w:type="spellStart"/>
      <w:r w:rsidR="00037F56" w:rsidRPr="00AF652D">
        <w:rPr>
          <w:rFonts w:ascii="Arial" w:hAnsi="Arial" w:cs="Arial"/>
          <w:lang w:val="en-GB"/>
        </w:rPr>
        <w:t>T.Gy</w:t>
      </w:r>
      <w:proofErr w:type="spellEnd"/>
      <w:r w:rsidR="00037F56" w:rsidRPr="00AF652D">
        <w:rPr>
          <w:rFonts w:ascii="Arial" w:hAnsi="Arial" w:cs="Arial"/>
          <w:lang w:val="en-GB"/>
        </w:rPr>
        <w:t xml:space="preserve">.] </w:t>
      </w:r>
      <w:r w:rsidRPr="00AF652D">
        <w:rPr>
          <w:rFonts w:ascii="Arial" w:hAnsi="Arial" w:cs="Arial"/>
          <w:lang w:val="en-GB"/>
        </w:rPr>
        <w:t>measures appear to be more effective in Hungary. In addition to measures adopted last year to facilitate successful exit from the scheme, the government has recently introduced financial incentives for public workers who accept job offers in the open labour market. Training is provided to participants, but it is usually limited to basic technical skills development required for the public works job. Even though public workers are not covered by the Labour Code</w:t>
      </w:r>
      <w:r w:rsidR="00037F56" w:rsidRPr="00AF652D">
        <w:rPr>
          <w:rStyle w:val="FootnoteReference"/>
          <w:rFonts w:ascii="Arial" w:hAnsi="Arial" w:cs="Arial"/>
          <w:lang w:val="en-GB"/>
        </w:rPr>
        <w:footnoteReference w:id="57"/>
      </w:r>
      <w:r w:rsidRPr="00AF652D">
        <w:rPr>
          <w:rFonts w:ascii="Arial" w:hAnsi="Arial" w:cs="Arial"/>
          <w:lang w:val="en-GB"/>
        </w:rPr>
        <w:t xml:space="preserve"> and their monthly compensation is about 25 % below the minimum wage the scheme may appear more attractive than training for some participants as the income support available during trainings is much lower than the public works wage.</w:t>
      </w:r>
      <w:r w:rsidR="00077A2A" w:rsidRPr="00AF652D">
        <w:rPr>
          <w:rFonts w:ascii="Arial" w:hAnsi="Arial" w:cs="Arial"/>
          <w:lang w:val="en-GB"/>
        </w:rPr>
        <w:t>”</w:t>
      </w:r>
      <w:r w:rsidR="000668E6" w:rsidRPr="00AF652D">
        <w:rPr>
          <w:rStyle w:val="FootnoteReference"/>
          <w:rFonts w:ascii="Arial" w:hAnsi="Arial" w:cs="Arial"/>
          <w:lang w:val="en-GB"/>
        </w:rPr>
        <w:footnoteReference w:id="58"/>
      </w:r>
    </w:p>
    <w:p w:rsidR="000668E6" w:rsidRPr="00AF652D" w:rsidRDefault="000668E6" w:rsidP="00AB2326">
      <w:pPr>
        <w:pStyle w:val="Default"/>
        <w:rPr>
          <w:rFonts w:ascii="Arial" w:hAnsi="Arial" w:cs="Arial"/>
          <w:lang w:val="en-GB"/>
        </w:rPr>
      </w:pPr>
    </w:p>
    <w:p w:rsidR="00D634CC" w:rsidRPr="00AF652D" w:rsidRDefault="00077A2A" w:rsidP="00AB2326">
      <w:pPr>
        <w:spacing w:after="0" w:line="240" w:lineRule="auto"/>
        <w:jc w:val="both"/>
        <w:rPr>
          <w:rFonts w:ascii="Arial" w:hAnsi="Arial" w:cs="Arial"/>
          <w:sz w:val="24"/>
          <w:szCs w:val="24"/>
        </w:rPr>
      </w:pPr>
      <w:r w:rsidRPr="00AF652D">
        <w:rPr>
          <w:rFonts w:ascii="Arial" w:hAnsi="Arial" w:cs="Arial"/>
          <w:bCs/>
          <w:sz w:val="24"/>
          <w:szCs w:val="24"/>
        </w:rPr>
        <w:lastRenderedPageBreak/>
        <w:t>“</w:t>
      </w:r>
      <w:r w:rsidR="00D634CC" w:rsidRPr="00AF652D">
        <w:rPr>
          <w:rFonts w:ascii="Arial" w:hAnsi="Arial" w:cs="Arial"/>
          <w:bCs/>
          <w:sz w:val="24"/>
          <w:szCs w:val="24"/>
        </w:rPr>
        <w:t>The public works scheme is not adequately targeted</w:t>
      </w:r>
      <w:r w:rsidR="00D634CC" w:rsidRPr="00AF652D">
        <w:rPr>
          <w:rFonts w:ascii="Arial" w:hAnsi="Arial" w:cs="Arial"/>
          <w:sz w:val="24"/>
          <w:szCs w:val="24"/>
        </w:rPr>
        <w:t xml:space="preserve">. The main target population for the scheme is the long-term unemployed, the unemployed living in disadvantaged areas and the low-skilled. However according to the </w:t>
      </w:r>
      <w:proofErr w:type="spellStart"/>
      <w:r w:rsidR="00D634CC" w:rsidRPr="00AF652D">
        <w:rPr>
          <w:rFonts w:ascii="Arial" w:hAnsi="Arial" w:cs="Arial"/>
          <w:sz w:val="24"/>
          <w:szCs w:val="24"/>
        </w:rPr>
        <w:t>authorities</w:t>
      </w:r>
      <w:proofErr w:type="spellEnd"/>
      <w:r w:rsidR="00D634CC" w:rsidRPr="00AF652D">
        <w:rPr>
          <w:rFonts w:ascii="Arial" w:hAnsi="Arial" w:cs="Arial"/>
          <w:sz w:val="24"/>
          <w:szCs w:val="24"/>
        </w:rPr>
        <w:t xml:space="preserve"> 47 % of participants had secondary or tertiary education in 2014 and 2015. While a large share of PWS participants come from disadvantaged regions, the share of unemployed involved in public works is still significant in counties with well-performing labour markets, such as </w:t>
      </w:r>
      <w:proofErr w:type="spellStart"/>
      <w:r w:rsidR="00D634CC" w:rsidRPr="00AF652D">
        <w:rPr>
          <w:rFonts w:ascii="Arial" w:hAnsi="Arial" w:cs="Arial"/>
          <w:sz w:val="24"/>
          <w:szCs w:val="24"/>
        </w:rPr>
        <w:t>Győr</w:t>
      </w:r>
      <w:proofErr w:type="spellEnd"/>
      <w:r w:rsidR="00D634CC" w:rsidRPr="00AF652D">
        <w:rPr>
          <w:rFonts w:ascii="Arial" w:hAnsi="Arial" w:cs="Arial"/>
          <w:sz w:val="24"/>
          <w:szCs w:val="24"/>
        </w:rPr>
        <w:t>-</w:t>
      </w:r>
      <w:proofErr w:type="spellStart"/>
      <w:r w:rsidR="00D634CC" w:rsidRPr="00AF652D">
        <w:rPr>
          <w:rFonts w:ascii="Arial" w:hAnsi="Arial" w:cs="Arial"/>
          <w:sz w:val="24"/>
          <w:szCs w:val="24"/>
        </w:rPr>
        <w:t>Moson</w:t>
      </w:r>
      <w:proofErr w:type="spellEnd"/>
      <w:r w:rsidR="00D634CC" w:rsidRPr="00AF652D">
        <w:rPr>
          <w:rFonts w:ascii="Arial" w:hAnsi="Arial" w:cs="Arial"/>
          <w:sz w:val="24"/>
          <w:szCs w:val="24"/>
        </w:rPr>
        <w:t>-Sopron or Vas. The profiling system of jobseekers was launched in January 2016, but the recommendations by the local PES</w:t>
      </w:r>
      <w:r w:rsidR="00313845" w:rsidRPr="00AF652D">
        <w:rPr>
          <w:rFonts w:ascii="Arial" w:hAnsi="Arial" w:cs="Arial"/>
          <w:sz w:val="24"/>
          <w:szCs w:val="24"/>
        </w:rPr>
        <w:t xml:space="preserve"> [public employment service – </w:t>
      </w:r>
      <w:proofErr w:type="spellStart"/>
      <w:r w:rsidR="00313845" w:rsidRPr="00AF652D">
        <w:rPr>
          <w:rFonts w:ascii="Arial" w:hAnsi="Arial" w:cs="Arial"/>
          <w:sz w:val="24"/>
          <w:szCs w:val="24"/>
        </w:rPr>
        <w:t>Sz.H</w:t>
      </w:r>
      <w:proofErr w:type="spellEnd"/>
      <w:r w:rsidR="00313845" w:rsidRPr="00AF652D">
        <w:rPr>
          <w:rFonts w:ascii="Arial" w:hAnsi="Arial" w:cs="Arial"/>
          <w:sz w:val="24"/>
          <w:szCs w:val="24"/>
        </w:rPr>
        <w:t xml:space="preserve"> and </w:t>
      </w:r>
      <w:proofErr w:type="spellStart"/>
      <w:proofErr w:type="gramStart"/>
      <w:r w:rsidR="00313845" w:rsidRPr="00AF652D">
        <w:rPr>
          <w:rFonts w:ascii="Arial" w:hAnsi="Arial" w:cs="Arial"/>
          <w:sz w:val="24"/>
          <w:szCs w:val="24"/>
        </w:rPr>
        <w:t>T.Gy</w:t>
      </w:r>
      <w:proofErr w:type="spellEnd"/>
      <w:proofErr w:type="gramEnd"/>
      <w:r w:rsidR="00313845" w:rsidRPr="00AF652D">
        <w:rPr>
          <w:rFonts w:ascii="Arial" w:hAnsi="Arial" w:cs="Arial"/>
          <w:sz w:val="24"/>
          <w:szCs w:val="24"/>
        </w:rPr>
        <w:t>]</w:t>
      </w:r>
      <w:r w:rsidR="00D634CC" w:rsidRPr="00AF652D">
        <w:rPr>
          <w:rFonts w:ascii="Arial" w:hAnsi="Arial" w:cs="Arial"/>
          <w:sz w:val="24"/>
          <w:szCs w:val="24"/>
        </w:rPr>
        <w:t xml:space="preserve"> to the individual jobseekers still depend, to a large extent, on the capacity of available ALMPs, and the PWS remains the dominant program. Municipalities can also influence the selection of participants. Substitution (the replacement of employees with public workers) is illegal as public workers cannot undertake any tasks related to the core functions of a municipality. </w:t>
      </w:r>
      <w:proofErr w:type="gramStart"/>
      <w:r w:rsidR="00D634CC" w:rsidRPr="00AF652D">
        <w:rPr>
          <w:rFonts w:ascii="Arial" w:hAnsi="Arial" w:cs="Arial"/>
          <w:sz w:val="24"/>
          <w:szCs w:val="24"/>
        </w:rPr>
        <w:t>However</w:t>
      </w:r>
      <w:proofErr w:type="gramEnd"/>
      <w:r w:rsidR="00D634CC" w:rsidRPr="00AF652D">
        <w:rPr>
          <w:rFonts w:ascii="Arial" w:hAnsi="Arial" w:cs="Arial"/>
          <w:sz w:val="24"/>
          <w:szCs w:val="24"/>
        </w:rPr>
        <w:t xml:space="preserve"> a comprehensive monitoring and evaluation system is not yet in place.”</w:t>
      </w:r>
      <w:r w:rsidR="00AC2745" w:rsidRPr="00AF652D">
        <w:rPr>
          <w:rStyle w:val="FootnoteReference"/>
          <w:rFonts w:ascii="Arial" w:hAnsi="Arial" w:cs="Arial"/>
          <w:sz w:val="24"/>
          <w:szCs w:val="24"/>
        </w:rPr>
        <w:footnoteReference w:id="59"/>
      </w:r>
    </w:p>
    <w:p w:rsidR="00066FF4" w:rsidRPr="00AF652D" w:rsidRDefault="00066FF4" w:rsidP="00AB2326">
      <w:pPr>
        <w:spacing w:after="0" w:line="240" w:lineRule="auto"/>
        <w:jc w:val="both"/>
        <w:rPr>
          <w:rFonts w:ascii="Arial" w:hAnsi="Arial" w:cs="Arial"/>
          <w:sz w:val="24"/>
          <w:szCs w:val="24"/>
        </w:rPr>
      </w:pPr>
    </w:p>
    <w:p w:rsidR="002A38F0" w:rsidRPr="00AF652D" w:rsidRDefault="002A38F0" w:rsidP="00AB2326">
      <w:pPr>
        <w:pStyle w:val="ListParagraph"/>
        <w:numPr>
          <w:ilvl w:val="0"/>
          <w:numId w:val="24"/>
        </w:numPr>
        <w:spacing w:after="0" w:line="240" w:lineRule="auto"/>
        <w:ind w:left="567" w:hanging="567"/>
        <w:jc w:val="both"/>
        <w:rPr>
          <w:rFonts w:ascii="Arial" w:hAnsi="Arial" w:cs="Arial"/>
          <w:sz w:val="24"/>
          <w:szCs w:val="24"/>
        </w:rPr>
      </w:pPr>
      <w:r w:rsidRPr="00AF652D">
        <w:rPr>
          <w:rFonts w:ascii="Arial" w:hAnsi="Arial" w:cs="Arial"/>
          <w:sz w:val="24"/>
          <w:szCs w:val="24"/>
        </w:rPr>
        <w:t>Accredited employment</w:t>
      </w:r>
    </w:p>
    <w:p w:rsidR="00AB2326" w:rsidRPr="00AF652D" w:rsidRDefault="00AB2326" w:rsidP="00AB2326">
      <w:pPr>
        <w:spacing w:after="0" w:line="240" w:lineRule="auto"/>
        <w:jc w:val="both"/>
        <w:rPr>
          <w:rFonts w:ascii="Arial" w:hAnsi="Arial" w:cs="Arial"/>
          <w:sz w:val="24"/>
          <w:szCs w:val="24"/>
        </w:rPr>
      </w:pPr>
    </w:p>
    <w:p w:rsidR="00AB2326" w:rsidRPr="00AF652D" w:rsidRDefault="002A38F0" w:rsidP="00AB2326">
      <w:pPr>
        <w:spacing w:after="0" w:line="240" w:lineRule="auto"/>
        <w:jc w:val="both"/>
        <w:rPr>
          <w:rFonts w:ascii="Arial" w:hAnsi="Arial" w:cs="Arial"/>
          <w:sz w:val="24"/>
          <w:szCs w:val="24"/>
        </w:rPr>
      </w:pPr>
      <w:r w:rsidRPr="00AF652D">
        <w:rPr>
          <w:rFonts w:ascii="Arial" w:hAnsi="Arial" w:cs="Arial"/>
          <w:sz w:val="24"/>
          <w:szCs w:val="24"/>
        </w:rPr>
        <w:t xml:space="preserve">Employers offering rehabilitation-targeted employment opportunities may </w:t>
      </w:r>
      <w:r w:rsidR="007D52AF" w:rsidRPr="00AF652D">
        <w:rPr>
          <w:rFonts w:ascii="Arial" w:hAnsi="Arial" w:cs="Arial"/>
          <w:sz w:val="24"/>
          <w:szCs w:val="24"/>
        </w:rPr>
        <w:t xml:space="preserve">apply for a specific accreditation </w:t>
      </w:r>
      <w:r w:rsidR="00FE7F30" w:rsidRPr="00AF652D">
        <w:rPr>
          <w:rFonts w:ascii="Arial" w:hAnsi="Arial" w:cs="Arial"/>
          <w:sz w:val="24"/>
          <w:szCs w:val="24"/>
        </w:rPr>
        <w:t>process.</w:t>
      </w:r>
      <w:r w:rsidR="006B68E6" w:rsidRPr="00AF652D">
        <w:rPr>
          <w:rStyle w:val="FootnoteReference"/>
          <w:rFonts w:ascii="Arial" w:hAnsi="Arial" w:cs="Arial"/>
          <w:sz w:val="24"/>
          <w:szCs w:val="24"/>
        </w:rPr>
        <w:footnoteReference w:id="60"/>
      </w:r>
      <w:r w:rsidR="00FE7F30" w:rsidRPr="00AF652D">
        <w:rPr>
          <w:rFonts w:ascii="Arial" w:hAnsi="Arial" w:cs="Arial"/>
          <w:sz w:val="24"/>
          <w:szCs w:val="24"/>
        </w:rPr>
        <w:t xml:space="preserve"> Once the employer attests that </w:t>
      </w:r>
      <w:r w:rsidR="00BF7A9B" w:rsidRPr="00AF652D">
        <w:rPr>
          <w:rFonts w:ascii="Arial" w:hAnsi="Arial" w:cs="Arial"/>
          <w:sz w:val="24"/>
          <w:szCs w:val="24"/>
        </w:rPr>
        <w:t xml:space="preserve">it </w:t>
      </w:r>
      <w:r w:rsidR="00476BA9" w:rsidRPr="00AF652D">
        <w:rPr>
          <w:rFonts w:ascii="Arial" w:hAnsi="Arial" w:cs="Arial"/>
          <w:sz w:val="24"/>
          <w:szCs w:val="24"/>
        </w:rPr>
        <w:t xml:space="preserve">provides </w:t>
      </w:r>
      <w:r w:rsidR="00E00A80" w:rsidRPr="00AF652D">
        <w:rPr>
          <w:rFonts w:ascii="Arial" w:hAnsi="Arial" w:cs="Arial"/>
          <w:sz w:val="24"/>
          <w:szCs w:val="24"/>
        </w:rPr>
        <w:t>the required facilities, person</w:t>
      </w:r>
      <w:r w:rsidR="000B3AF8" w:rsidRPr="00AF652D">
        <w:rPr>
          <w:rFonts w:ascii="Arial" w:hAnsi="Arial" w:cs="Arial"/>
          <w:sz w:val="24"/>
          <w:szCs w:val="24"/>
        </w:rPr>
        <w:t>nel</w:t>
      </w:r>
      <w:r w:rsidR="00BF7A9B" w:rsidRPr="00AF652D">
        <w:rPr>
          <w:rFonts w:ascii="Arial" w:hAnsi="Arial" w:cs="Arial"/>
          <w:sz w:val="24"/>
          <w:szCs w:val="24"/>
        </w:rPr>
        <w:t xml:space="preserve"> and rehabilitation plans to conduct rehabilitation</w:t>
      </w:r>
      <w:r w:rsidR="00C96E63" w:rsidRPr="00AF652D">
        <w:rPr>
          <w:rFonts w:ascii="Arial" w:hAnsi="Arial" w:cs="Arial"/>
          <w:sz w:val="24"/>
          <w:szCs w:val="24"/>
        </w:rPr>
        <w:t xml:space="preserve">-targeted employment, it is granted an accreditation </w:t>
      </w:r>
      <w:r w:rsidR="000E2706" w:rsidRPr="00AF652D">
        <w:rPr>
          <w:rFonts w:ascii="Arial" w:hAnsi="Arial" w:cs="Arial"/>
          <w:sz w:val="24"/>
          <w:szCs w:val="24"/>
        </w:rPr>
        <w:t>certifi</w:t>
      </w:r>
      <w:r w:rsidR="006D0EF0" w:rsidRPr="00AF652D">
        <w:rPr>
          <w:rFonts w:ascii="Arial" w:hAnsi="Arial" w:cs="Arial"/>
          <w:sz w:val="24"/>
          <w:szCs w:val="24"/>
        </w:rPr>
        <w:t>c</w:t>
      </w:r>
      <w:r w:rsidR="000E2706" w:rsidRPr="00AF652D">
        <w:rPr>
          <w:rFonts w:ascii="Arial" w:hAnsi="Arial" w:cs="Arial"/>
          <w:sz w:val="24"/>
          <w:szCs w:val="24"/>
        </w:rPr>
        <w:t>ation</w:t>
      </w:r>
      <w:r w:rsidR="00C96E63" w:rsidRPr="00AF652D">
        <w:rPr>
          <w:rFonts w:ascii="Arial" w:hAnsi="Arial" w:cs="Arial"/>
          <w:sz w:val="24"/>
          <w:szCs w:val="24"/>
        </w:rPr>
        <w:t xml:space="preserve">. Accredited employers are obliged to </w:t>
      </w:r>
      <w:r w:rsidR="00BB2DA0" w:rsidRPr="00AF652D">
        <w:rPr>
          <w:rFonts w:ascii="Arial" w:hAnsi="Arial" w:cs="Arial"/>
          <w:sz w:val="24"/>
          <w:szCs w:val="24"/>
        </w:rPr>
        <w:t xml:space="preserve">provide </w:t>
      </w:r>
      <w:r w:rsidR="00C96E63" w:rsidRPr="00AF652D">
        <w:rPr>
          <w:rFonts w:ascii="Arial" w:hAnsi="Arial" w:cs="Arial"/>
          <w:sz w:val="24"/>
          <w:szCs w:val="24"/>
        </w:rPr>
        <w:t>employment</w:t>
      </w:r>
      <w:r w:rsidR="00BB2DA0" w:rsidRPr="00AF652D">
        <w:rPr>
          <w:rFonts w:ascii="Arial" w:hAnsi="Arial" w:cs="Arial"/>
          <w:sz w:val="24"/>
          <w:szCs w:val="24"/>
        </w:rPr>
        <w:t xml:space="preserve"> opportunity for persons with reduced working ability, and to assist the rehabilitation of them </w:t>
      </w:r>
      <w:r w:rsidR="00D72A12" w:rsidRPr="00AF652D">
        <w:rPr>
          <w:rFonts w:ascii="Arial" w:hAnsi="Arial" w:cs="Arial"/>
          <w:sz w:val="24"/>
          <w:szCs w:val="24"/>
        </w:rPr>
        <w:t xml:space="preserve">through </w:t>
      </w:r>
      <w:r w:rsidR="00BB2DA0" w:rsidRPr="00AF652D">
        <w:rPr>
          <w:rFonts w:ascii="Arial" w:hAnsi="Arial" w:cs="Arial"/>
          <w:sz w:val="24"/>
          <w:szCs w:val="24"/>
        </w:rPr>
        <w:t>the implementation of their personal rehabilitation plans and by the provision of sp</w:t>
      </w:r>
      <w:r w:rsidR="00AB2326" w:rsidRPr="00AF652D">
        <w:rPr>
          <w:rFonts w:ascii="Arial" w:hAnsi="Arial" w:cs="Arial"/>
          <w:sz w:val="24"/>
          <w:szCs w:val="24"/>
        </w:rPr>
        <w:t>ecific rehabilitation services.</w:t>
      </w:r>
    </w:p>
    <w:p w:rsidR="00AB2326" w:rsidRPr="00AF652D" w:rsidRDefault="00AB2326" w:rsidP="00AB2326">
      <w:pPr>
        <w:spacing w:after="0" w:line="240" w:lineRule="auto"/>
        <w:jc w:val="both"/>
        <w:rPr>
          <w:rFonts w:ascii="Arial" w:hAnsi="Arial" w:cs="Arial"/>
          <w:sz w:val="24"/>
          <w:szCs w:val="24"/>
        </w:rPr>
      </w:pPr>
    </w:p>
    <w:p w:rsidR="00883684" w:rsidRPr="00AF652D" w:rsidRDefault="00883684" w:rsidP="00AB2326">
      <w:pPr>
        <w:spacing w:after="0" w:line="240" w:lineRule="auto"/>
        <w:jc w:val="both"/>
        <w:rPr>
          <w:rFonts w:ascii="Arial" w:hAnsi="Arial" w:cs="Arial"/>
          <w:sz w:val="24"/>
          <w:szCs w:val="24"/>
        </w:rPr>
      </w:pPr>
      <w:r w:rsidRPr="00AF652D">
        <w:rPr>
          <w:rFonts w:ascii="Arial" w:hAnsi="Arial" w:cs="Arial"/>
          <w:sz w:val="24"/>
          <w:szCs w:val="24"/>
        </w:rPr>
        <w:t xml:space="preserve">There are two types of rehabilitation-targeted employment. (1) Lasting employment is designed for clients/employees </w:t>
      </w:r>
      <w:r w:rsidR="00126785" w:rsidRPr="00AF652D">
        <w:rPr>
          <w:rFonts w:ascii="Arial" w:hAnsi="Arial" w:cs="Arial"/>
          <w:sz w:val="24"/>
          <w:szCs w:val="24"/>
        </w:rPr>
        <w:t xml:space="preserve">permanently </w:t>
      </w:r>
      <w:r w:rsidRPr="00AF652D">
        <w:rPr>
          <w:rFonts w:ascii="Arial" w:hAnsi="Arial" w:cs="Arial"/>
          <w:sz w:val="24"/>
          <w:szCs w:val="24"/>
        </w:rPr>
        <w:t xml:space="preserve">requiring </w:t>
      </w:r>
      <w:r w:rsidR="00126785" w:rsidRPr="00AF652D">
        <w:rPr>
          <w:rFonts w:ascii="Arial" w:hAnsi="Arial" w:cs="Arial"/>
          <w:sz w:val="24"/>
          <w:szCs w:val="24"/>
        </w:rPr>
        <w:t xml:space="preserve">the conditions of </w:t>
      </w:r>
      <w:r w:rsidRPr="00AF652D">
        <w:rPr>
          <w:rFonts w:ascii="Arial" w:hAnsi="Arial" w:cs="Arial"/>
          <w:sz w:val="24"/>
          <w:szCs w:val="24"/>
        </w:rPr>
        <w:t xml:space="preserve">sheltered </w:t>
      </w:r>
      <w:r w:rsidR="00126785" w:rsidRPr="00AF652D">
        <w:rPr>
          <w:rFonts w:ascii="Arial" w:hAnsi="Arial" w:cs="Arial"/>
          <w:sz w:val="24"/>
          <w:szCs w:val="24"/>
        </w:rPr>
        <w:t>employment. (2) Transit employment is designed for those ones having good perspectives for transition to the open labour market.</w:t>
      </w:r>
      <w:r w:rsidR="00AD4EAA" w:rsidRPr="00AF652D">
        <w:rPr>
          <w:rFonts w:ascii="Arial" w:hAnsi="Arial" w:cs="Arial"/>
          <w:sz w:val="24"/>
          <w:szCs w:val="24"/>
        </w:rPr>
        <w:t xml:space="preserve"> Rehabilitation-targeted employment improve</w:t>
      </w:r>
      <w:r w:rsidR="0054060F" w:rsidRPr="00AF652D">
        <w:rPr>
          <w:rFonts w:ascii="Arial" w:hAnsi="Arial" w:cs="Arial"/>
          <w:sz w:val="24"/>
          <w:szCs w:val="24"/>
        </w:rPr>
        <w:t>s</w:t>
      </w:r>
      <w:r w:rsidR="00AD4EAA" w:rsidRPr="00AF652D">
        <w:rPr>
          <w:rFonts w:ascii="Arial" w:hAnsi="Arial" w:cs="Arial"/>
          <w:sz w:val="24"/>
          <w:szCs w:val="24"/>
        </w:rPr>
        <w:t xml:space="preserve"> their working skills </w:t>
      </w:r>
      <w:proofErr w:type="gramStart"/>
      <w:r w:rsidR="00AD4EAA" w:rsidRPr="00AF652D">
        <w:rPr>
          <w:rFonts w:ascii="Arial" w:hAnsi="Arial" w:cs="Arial"/>
          <w:sz w:val="24"/>
          <w:szCs w:val="24"/>
        </w:rPr>
        <w:t>in order to</w:t>
      </w:r>
      <w:proofErr w:type="gramEnd"/>
      <w:r w:rsidR="00AD4EAA" w:rsidRPr="00AF652D">
        <w:rPr>
          <w:rFonts w:ascii="Arial" w:hAnsi="Arial" w:cs="Arial"/>
          <w:sz w:val="24"/>
          <w:szCs w:val="24"/>
        </w:rPr>
        <w:t xml:space="preserve"> enable them </w:t>
      </w:r>
      <w:r w:rsidR="0054060F" w:rsidRPr="00AF652D">
        <w:rPr>
          <w:rFonts w:ascii="Arial" w:hAnsi="Arial" w:cs="Arial"/>
          <w:sz w:val="24"/>
          <w:szCs w:val="24"/>
        </w:rPr>
        <w:t xml:space="preserve">to carry out work in the </w:t>
      </w:r>
      <w:r w:rsidR="00AB2326" w:rsidRPr="00AF652D">
        <w:rPr>
          <w:rFonts w:ascii="Arial" w:hAnsi="Arial" w:cs="Arial"/>
          <w:sz w:val="24"/>
          <w:szCs w:val="24"/>
        </w:rPr>
        <w:t>open labour market.</w:t>
      </w:r>
    </w:p>
    <w:p w:rsidR="00AB2326" w:rsidRPr="00AF652D" w:rsidRDefault="00AB2326" w:rsidP="00AB2326">
      <w:pPr>
        <w:spacing w:after="0" w:line="240" w:lineRule="auto"/>
        <w:jc w:val="both"/>
        <w:rPr>
          <w:rFonts w:ascii="Arial" w:hAnsi="Arial" w:cs="Arial"/>
          <w:sz w:val="24"/>
          <w:szCs w:val="24"/>
        </w:rPr>
      </w:pPr>
    </w:p>
    <w:p w:rsidR="00BB2DA0" w:rsidRPr="00AF652D" w:rsidRDefault="00BB2DA0" w:rsidP="00AB2326">
      <w:pPr>
        <w:spacing w:after="0" w:line="240" w:lineRule="auto"/>
        <w:jc w:val="both"/>
        <w:rPr>
          <w:rFonts w:ascii="Arial" w:hAnsi="Arial" w:cs="Arial"/>
          <w:sz w:val="24"/>
          <w:szCs w:val="24"/>
        </w:rPr>
      </w:pPr>
      <w:r w:rsidRPr="00AF652D">
        <w:rPr>
          <w:rFonts w:ascii="Arial" w:hAnsi="Arial" w:cs="Arial"/>
          <w:sz w:val="24"/>
          <w:szCs w:val="24"/>
        </w:rPr>
        <w:t>The costs of rehabilitation employment</w:t>
      </w:r>
      <w:r w:rsidR="004A04E7" w:rsidRPr="00AF652D">
        <w:rPr>
          <w:rFonts w:ascii="Arial" w:hAnsi="Arial" w:cs="Arial"/>
          <w:sz w:val="24"/>
          <w:szCs w:val="24"/>
        </w:rPr>
        <w:t>, including wage costs,</w:t>
      </w:r>
      <w:r w:rsidR="00AE420E" w:rsidRPr="00AF652D">
        <w:rPr>
          <w:rFonts w:ascii="Arial" w:hAnsi="Arial" w:cs="Arial"/>
          <w:sz w:val="24"/>
          <w:szCs w:val="24"/>
        </w:rPr>
        <w:t xml:space="preserve"> </w:t>
      </w:r>
      <w:r w:rsidR="0099297A" w:rsidRPr="00AF652D">
        <w:rPr>
          <w:rFonts w:ascii="Arial" w:hAnsi="Arial" w:cs="Arial"/>
          <w:sz w:val="24"/>
          <w:szCs w:val="24"/>
        </w:rPr>
        <w:t>related duties and other costs (costs of employment of special personal assistance, investments to acc</w:t>
      </w:r>
      <w:r w:rsidR="00A05ED3" w:rsidRPr="00AF652D">
        <w:rPr>
          <w:rFonts w:ascii="Arial" w:hAnsi="Arial" w:cs="Arial"/>
          <w:sz w:val="24"/>
          <w:szCs w:val="24"/>
        </w:rPr>
        <w:t>essibility and accommodation of disability-related needs</w:t>
      </w:r>
      <w:r w:rsidR="00374E19" w:rsidRPr="00AF652D">
        <w:rPr>
          <w:rFonts w:ascii="Arial" w:hAnsi="Arial" w:cs="Arial"/>
          <w:sz w:val="24"/>
          <w:szCs w:val="24"/>
        </w:rPr>
        <w:t>, training costs</w:t>
      </w:r>
      <w:r w:rsidR="00A05ED3" w:rsidRPr="00AF652D">
        <w:rPr>
          <w:rFonts w:ascii="Arial" w:hAnsi="Arial" w:cs="Arial"/>
          <w:sz w:val="24"/>
          <w:szCs w:val="24"/>
        </w:rPr>
        <w:t xml:space="preserve"> etc.)</w:t>
      </w:r>
      <w:r w:rsidR="008E666D" w:rsidRPr="00AF652D">
        <w:rPr>
          <w:rFonts w:ascii="Arial" w:hAnsi="Arial" w:cs="Arial"/>
          <w:sz w:val="24"/>
          <w:szCs w:val="24"/>
        </w:rPr>
        <w:t xml:space="preserve"> </w:t>
      </w:r>
      <w:r w:rsidRPr="00AF652D">
        <w:rPr>
          <w:rFonts w:ascii="Arial" w:hAnsi="Arial" w:cs="Arial"/>
          <w:sz w:val="24"/>
          <w:szCs w:val="24"/>
        </w:rPr>
        <w:t xml:space="preserve">are </w:t>
      </w:r>
      <w:r w:rsidR="00883684" w:rsidRPr="00AF652D">
        <w:rPr>
          <w:rFonts w:ascii="Arial" w:hAnsi="Arial" w:cs="Arial"/>
          <w:sz w:val="24"/>
          <w:szCs w:val="24"/>
        </w:rPr>
        <w:t xml:space="preserve">reimbursed </w:t>
      </w:r>
      <w:r w:rsidR="00AD4EAA" w:rsidRPr="00AF652D">
        <w:rPr>
          <w:rFonts w:ascii="Arial" w:hAnsi="Arial" w:cs="Arial"/>
          <w:sz w:val="24"/>
          <w:szCs w:val="24"/>
        </w:rPr>
        <w:t>up to 100 %</w:t>
      </w:r>
      <w:r w:rsidR="00A05ED3" w:rsidRPr="00AF652D">
        <w:rPr>
          <w:rFonts w:ascii="Arial" w:hAnsi="Arial" w:cs="Arial"/>
          <w:sz w:val="24"/>
          <w:szCs w:val="24"/>
        </w:rPr>
        <w:t>.</w:t>
      </w:r>
      <w:r w:rsidR="00515E0D" w:rsidRPr="00AF652D">
        <w:rPr>
          <w:rStyle w:val="FootnoteReference"/>
          <w:rFonts w:ascii="Arial" w:hAnsi="Arial" w:cs="Arial"/>
          <w:sz w:val="24"/>
          <w:szCs w:val="24"/>
        </w:rPr>
        <w:footnoteReference w:id="61"/>
      </w:r>
    </w:p>
    <w:p w:rsidR="00A05ED3" w:rsidRPr="00AF652D" w:rsidRDefault="00A05ED3" w:rsidP="00AB2326">
      <w:pPr>
        <w:spacing w:after="0" w:line="240" w:lineRule="auto"/>
        <w:jc w:val="both"/>
        <w:rPr>
          <w:rFonts w:ascii="Arial" w:hAnsi="Arial" w:cs="Arial"/>
          <w:sz w:val="24"/>
          <w:szCs w:val="24"/>
        </w:rPr>
      </w:pPr>
    </w:p>
    <w:p w:rsidR="00A05ED3" w:rsidRPr="00AF652D" w:rsidRDefault="00A05ED3" w:rsidP="00AB2326">
      <w:pPr>
        <w:pStyle w:val="ListParagraph"/>
        <w:numPr>
          <w:ilvl w:val="0"/>
          <w:numId w:val="24"/>
        </w:numPr>
        <w:spacing w:after="0" w:line="240" w:lineRule="auto"/>
        <w:ind w:left="567" w:hanging="567"/>
        <w:jc w:val="both"/>
        <w:rPr>
          <w:rFonts w:ascii="Arial" w:hAnsi="Arial" w:cs="Arial"/>
          <w:sz w:val="24"/>
          <w:szCs w:val="24"/>
        </w:rPr>
      </w:pPr>
      <w:r w:rsidRPr="00AF652D">
        <w:rPr>
          <w:rFonts w:ascii="Arial" w:hAnsi="Arial" w:cs="Arial"/>
          <w:sz w:val="24"/>
          <w:szCs w:val="24"/>
        </w:rPr>
        <w:t xml:space="preserve">Supported employment funded by EU </w:t>
      </w:r>
      <w:r w:rsidR="00882DAD" w:rsidRPr="00AF652D">
        <w:rPr>
          <w:rFonts w:ascii="Arial" w:hAnsi="Arial" w:cs="Arial"/>
          <w:sz w:val="24"/>
          <w:szCs w:val="24"/>
        </w:rPr>
        <w:t>operational programmes</w:t>
      </w:r>
    </w:p>
    <w:p w:rsidR="00AB2326" w:rsidRPr="00AF652D" w:rsidRDefault="00AB2326" w:rsidP="00AB2326">
      <w:pPr>
        <w:spacing w:after="0" w:line="240" w:lineRule="auto"/>
        <w:jc w:val="both"/>
        <w:rPr>
          <w:rFonts w:ascii="Arial" w:hAnsi="Arial" w:cs="Arial"/>
          <w:sz w:val="24"/>
          <w:szCs w:val="24"/>
        </w:rPr>
      </w:pPr>
    </w:p>
    <w:p w:rsidR="00747B9B" w:rsidRPr="00AF652D" w:rsidRDefault="006A6E4F" w:rsidP="00AB2326">
      <w:pPr>
        <w:spacing w:after="0" w:line="240" w:lineRule="auto"/>
        <w:jc w:val="both"/>
        <w:rPr>
          <w:rFonts w:ascii="Arial" w:hAnsi="Arial" w:cs="Arial"/>
          <w:sz w:val="24"/>
          <w:szCs w:val="24"/>
        </w:rPr>
      </w:pPr>
      <w:r w:rsidRPr="00AF652D">
        <w:rPr>
          <w:rFonts w:ascii="Arial" w:hAnsi="Arial" w:cs="Arial"/>
          <w:sz w:val="24"/>
          <w:szCs w:val="24"/>
        </w:rPr>
        <w:t xml:space="preserve">Specific EU </w:t>
      </w:r>
      <w:r w:rsidR="00882DAD" w:rsidRPr="00AF652D">
        <w:rPr>
          <w:rFonts w:ascii="Arial" w:hAnsi="Arial" w:cs="Arial"/>
          <w:sz w:val="24"/>
          <w:szCs w:val="24"/>
        </w:rPr>
        <w:t>operational programmes</w:t>
      </w:r>
      <w:r w:rsidRPr="00AF652D">
        <w:rPr>
          <w:rFonts w:ascii="Arial" w:hAnsi="Arial" w:cs="Arial"/>
          <w:sz w:val="24"/>
          <w:szCs w:val="24"/>
        </w:rPr>
        <w:t xml:space="preserve"> serve the implementation of activating labour market policies</w:t>
      </w:r>
      <w:r w:rsidR="00747B9B" w:rsidRPr="00AF652D">
        <w:rPr>
          <w:rFonts w:ascii="Arial" w:hAnsi="Arial" w:cs="Arial"/>
          <w:sz w:val="24"/>
          <w:szCs w:val="24"/>
        </w:rPr>
        <w:t xml:space="preserve"> concerning persons with disabilities.</w:t>
      </w:r>
    </w:p>
    <w:p w:rsidR="00AB2326" w:rsidRPr="00AF652D" w:rsidRDefault="00AB2326" w:rsidP="00AB2326">
      <w:pPr>
        <w:spacing w:after="0" w:line="240" w:lineRule="auto"/>
        <w:jc w:val="both"/>
        <w:rPr>
          <w:rFonts w:ascii="Arial" w:hAnsi="Arial" w:cs="Arial"/>
          <w:sz w:val="24"/>
          <w:szCs w:val="24"/>
        </w:rPr>
      </w:pPr>
    </w:p>
    <w:p w:rsidR="00A05ED3" w:rsidRPr="00AF652D" w:rsidRDefault="00747B9B" w:rsidP="00AB2326">
      <w:pPr>
        <w:spacing w:after="0" w:line="240" w:lineRule="auto"/>
        <w:jc w:val="both"/>
        <w:rPr>
          <w:rFonts w:ascii="Arial" w:hAnsi="Arial" w:cs="Arial"/>
          <w:sz w:val="24"/>
          <w:szCs w:val="24"/>
        </w:rPr>
      </w:pPr>
      <w:r w:rsidRPr="00AF652D">
        <w:rPr>
          <w:rFonts w:ascii="Arial" w:hAnsi="Arial" w:cs="Arial"/>
          <w:sz w:val="24"/>
          <w:szCs w:val="24"/>
        </w:rPr>
        <w:t xml:space="preserve">TÁMOP 1.1.1 project was </w:t>
      </w:r>
      <w:r w:rsidR="009A5029" w:rsidRPr="00AF652D">
        <w:rPr>
          <w:rFonts w:ascii="Arial" w:hAnsi="Arial" w:cs="Arial"/>
          <w:sz w:val="24"/>
          <w:szCs w:val="24"/>
        </w:rPr>
        <w:t xml:space="preserve">envisaged for the </w:t>
      </w:r>
      <w:r w:rsidR="00B06714" w:rsidRPr="00AF652D">
        <w:rPr>
          <w:rFonts w:ascii="Arial" w:hAnsi="Arial" w:cs="Arial"/>
          <w:sz w:val="24"/>
          <w:szCs w:val="24"/>
        </w:rPr>
        <w:t>assist</w:t>
      </w:r>
      <w:r w:rsidR="009A5029" w:rsidRPr="00AF652D">
        <w:rPr>
          <w:rFonts w:ascii="Arial" w:hAnsi="Arial" w:cs="Arial"/>
          <w:sz w:val="24"/>
          <w:szCs w:val="24"/>
        </w:rPr>
        <w:t>ance of</w:t>
      </w:r>
      <w:r w:rsidR="00B06714" w:rsidRPr="00AF652D">
        <w:rPr>
          <w:rFonts w:ascii="Arial" w:hAnsi="Arial" w:cs="Arial"/>
          <w:sz w:val="24"/>
          <w:szCs w:val="24"/>
        </w:rPr>
        <w:t xml:space="preserve"> the transition of</w:t>
      </w:r>
      <w:r w:rsidRPr="00AF652D">
        <w:rPr>
          <w:rFonts w:ascii="Arial" w:hAnsi="Arial" w:cs="Arial"/>
          <w:sz w:val="24"/>
          <w:szCs w:val="24"/>
        </w:rPr>
        <w:t xml:space="preserve"> specific </w:t>
      </w:r>
      <w:r w:rsidR="00B06714" w:rsidRPr="00AF652D">
        <w:rPr>
          <w:rFonts w:ascii="Arial" w:hAnsi="Arial" w:cs="Arial"/>
          <w:sz w:val="24"/>
          <w:szCs w:val="24"/>
        </w:rPr>
        <w:t>groups of persons with reduced working abilities to fixed-term work in the open labour market. The project lasted from 2008 to 2015</w:t>
      </w:r>
      <w:r w:rsidR="001937A8" w:rsidRPr="00AF652D">
        <w:rPr>
          <w:rFonts w:ascii="Arial" w:hAnsi="Arial" w:cs="Arial"/>
          <w:sz w:val="24"/>
          <w:szCs w:val="24"/>
        </w:rPr>
        <w:t>, and was coordinated by</w:t>
      </w:r>
      <w:r w:rsidR="00BE0A3A" w:rsidRPr="00AF652D">
        <w:rPr>
          <w:rFonts w:ascii="Arial" w:hAnsi="Arial" w:cs="Arial"/>
          <w:sz w:val="24"/>
          <w:szCs w:val="24"/>
        </w:rPr>
        <w:t xml:space="preserve"> the National Employment Service</w:t>
      </w:r>
      <w:r w:rsidR="00FC19EF" w:rsidRPr="00AF652D">
        <w:rPr>
          <w:rFonts w:ascii="Arial" w:hAnsi="Arial" w:cs="Arial"/>
          <w:sz w:val="24"/>
          <w:szCs w:val="24"/>
        </w:rPr>
        <w:t>, l</w:t>
      </w:r>
      <w:r w:rsidR="001937A8" w:rsidRPr="00AF652D">
        <w:rPr>
          <w:rFonts w:ascii="Arial" w:hAnsi="Arial" w:cs="Arial"/>
          <w:sz w:val="24"/>
          <w:szCs w:val="24"/>
        </w:rPr>
        <w:t>ater by the National Rehabilitation and Social Office</w:t>
      </w:r>
      <w:r w:rsidR="00BE0A3A" w:rsidRPr="00AF652D">
        <w:rPr>
          <w:rFonts w:ascii="Arial" w:hAnsi="Arial" w:cs="Arial"/>
          <w:sz w:val="24"/>
          <w:szCs w:val="24"/>
        </w:rPr>
        <w:t xml:space="preserve">. The project </w:t>
      </w:r>
      <w:r w:rsidR="00BE0A3A" w:rsidRPr="00AF652D">
        <w:rPr>
          <w:rFonts w:ascii="Arial" w:hAnsi="Arial" w:cs="Arial"/>
          <w:sz w:val="24"/>
          <w:szCs w:val="24"/>
        </w:rPr>
        <w:lastRenderedPageBreak/>
        <w:t>embraced multifaceted services</w:t>
      </w:r>
      <w:r w:rsidR="00B21FAF" w:rsidRPr="00AF652D">
        <w:rPr>
          <w:rFonts w:ascii="Arial" w:hAnsi="Arial" w:cs="Arial"/>
          <w:sz w:val="24"/>
          <w:szCs w:val="24"/>
        </w:rPr>
        <w:t xml:space="preserve"> for both the individual clients (including</w:t>
      </w:r>
      <w:r w:rsidR="00AE420E" w:rsidRPr="00AF652D">
        <w:rPr>
          <w:rFonts w:ascii="Arial" w:hAnsi="Arial" w:cs="Arial"/>
          <w:sz w:val="24"/>
          <w:szCs w:val="24"/>
        </w:rPr>
        <w:t xml:space="preserve"> </w:t>
      </w:r>
      <w:r w:rsidR="00B21FAF" w:rsidRPr="00AF652D">
        <w:rPr>
          <w:rFonts w:ascii="Arial" w:hAnsi="Arial" w:cs="Arial"/>
          <w:sz w:val="24"/>
          <w:szCs w:val="24"/>
        </w:rPr>
        <w:t>training</w:t>
      </w:r>
      <w:r w:rsidR="009A5029" w:rsidRPr="00AF652D">
        <w:rPr>
          <w:rFonts w:ascii="Arial" w:hAnsi="Arial" w:cs="Arial"/>
          <w:sz w:val="24"/>
          <w:szCs w:val="24"/>
        </w:rPr>
        <w:t xml:space="preserve"> aids</w:t>
      </w:r>
      <w:r w:rsidR="00B21FAF" w:rsidRPr="00AF652D">
        <w:rPr>
          <w:rFonts w:ascii="Arial" w:hAnsi="Arial" w:cs="Arial"/>
          <w:sz w:val="24"/>
          <w:szCs w:val="24"/>
        </w:rPr>
        <w:t xml:space="preserve">, </w:t>
      </w:r>
      <w:r w:rsidR="00B75130" w:rsidRPr="00AF652D">
        <w:rPr>
          <w:rFonts w:ascii="Arial" w:hAnsi="Arial" w:cs="Arial"/>
          <w:sz w:val="24"/>
          <w:szCs w:val="24"/>
        </w:rPr>
        <w:t>reimbursement of travel costs, supporting of self-employment, provision of advisory services etc.) and employers (</w:t>
      </w:r>
      <w:r w:rsidR="00235CDD" w:rsidRPr="00AF652D">
        <w:rPr>
          <w:rFonts w:ascii="Arial" w:hAnsi="Arial" w:cs="Arial"/>
          <w:sz w:val="24"/>
          <w:szCs w:val="24"/>
        </w:rPr>
        <w:t>reimbursement of wage costs, training costs, transportation costs etc.)</w:t>
      </w:r>
      <w:r w:rsidR="0088490F" w:rsidRPr="00AF652D">
        <w:rPr>
          <w:rFonts w:ascii="Arial" w:hAnsi="Arial" w:cs="Arial"/>
          <w:sz w:val="24"/>
          <w:szCs w:val="24"/>
        </w:rPr>
        <w:t xml:space="preserve">. Table </w:t>
      </w:r>
      <w:r w:rsidR="008834E2" w:rsidRPr="00AF652D">
        <w:rPr>
          <w:rFonts w:ascii="Arial" w:hAnsi="Arial" w:cs="Arial"/>
          <w:sz w:val="24"/>
          <w:szCs w:val="24"/>
        </w:rPr>
        <w:t>4</w:t>
      </w:r>
      <w:r w:rsidR="0088490F" w:rsidRPr="00AF652D">
        <w:rPr>
          <w:rFonts w:ascii="Arial" w:hAnsi="Arial" w:cs="Arial"/>
          <w:sz w:val="24"/>
          <w:szCs w:val="24"/>
        </w:rPr>
        <w:t xml:space="preserve"> shows the main results of the programme achieved until 28 February 2013.</w:t>
      </w:r>
      <w:r w:rsidR="00E3603B" w:rsidRPr="00AF652D">
        <w:rPr>
          <w:rStyle w:val="FootnoteReference"/>
          <w:rFonts w:ascii="Arial" w:hAnsi="Arial" w:cs="Arial"/>
          <w:sz w:val="24"/>
          <w:szCs w:val="24"/>
        </w:rPr>
        <w:footnoteReference w:id="62"/>
      </w:r>
    </w:p>
    <w:p w:rsidR="006251EB" w:rsidRPr="00AF652D" w:rsidRDefault="006251EB" w:rsidP="00AB2326">
      <w:pPr>
        <w:spacing w:after="0" w:line="240" w:lineRule="auto"/>
        <w:jc w:val="both"/>
        <w:rPr>
          <w:rFonts w:ascii="Arial" w:hAnsi="Arial" w:cs="Arial"/>
          <w:sz w:val="24"/>
          <w:szCs w:val="24"/>
        </w:rPr>
      </w:pPr>
    </w:p>
    <w:p w:rsidR="006251EB" w:rsidRPr="00AF652D" w:rsidRDefault="006251EB" w:rsidP="00AB2326">
      <w:pPr>
        <w:spacing w:after="0" w:line="240" w:lineRule="auto"/>
        <w:jc w:val="both"/>
        <w:rPr>
          <w:rFonts w:ascii="Arial" w:hAnsi="Arial" w:cs="Arial"/>
          <w:sz w:val="24"/>
          <w:szCs w:val="24"/>
        </w:rPr>
      </w:pPr>
      <w:r w:rsidRPr="00AF652D">
        <w:rPr>
          <w:rFonts w:ascii="Arial" w:hAnsi="Arial" w:cs="Arial"/>
          <w:sz w:val="24"/>
          <w:szCs w:val="24"/>
          <w:u w:val="single"/>
        </w:rPr>
        <w:t xml:space="preserve">Table </w:t>
      </w:r>
      <w:r w:rsidR="008834E2" w:rsidRPr="00AF652D">
        <w:rPr>
          <w:rFonts w:ascii="Arial" w:hAnsi="Arial" w:cs="Arial"/>
          <w:sz w:val="24"/>
          <w:szCs w:val="24"/>
          <w:u w:val="single"/>
        </w:rPr>
        <w:t>4</w:t>
      </w:r>
      <w:r w:rsidRPr="00AF652D">
        <w:rPr>
          <w:rFonts w:ascii="Arial" w:hAnsi="Arial" w:cs="Arial"/>
          <w:sz w:val="24"/>
          <w:szCs w:val="24"/>
        </w:rPr>
        <w:t xml:space="preserve">: main outcomes of TAMOP 1.1.1 </w:t>
      </w:r>
      <w:r w:rsidR="00882DAD" w:rsidRPr="00AF652D">
        <w:rPr>
          <w:rFonts w:ascii="Arial" w:hAnsi="Arial" w:cs="Arial"/>
          <w:sz w:val="24"/>
          <w:szCs w:val="24"/>
        </w:rPr>
        <w:t>operational programme</w:t>
      </w:r>
      <w:r w:rsidRPr="00AF652D">
        <w:rPr>
          <w:rFonts w:ascii="Arial" w:hAnsi="Arial" w:cs="Arial"/>
          <w:sz w:val="24"/>
          <w:szCs w:val="24"/>
        </w:rPr>
        <w:t xml:space="preserve"> (1</w:t>
      </w:r>
      <w:r w:rsidR="00FF3542" w:rsidRPr="00AF652D">
        <w:rPr>
          <w:rFonts w:ascii="Arial" w:hAnsi="Arial" w:cs="Arial"/>
          <w:sz w:val="24"/>
          <w:szCs w:val="24"/>
          <w:vertAlign w:val="superscript"/>
        </w:rPr>
        <w:t>st</w:t>
      </w:r>
      <w:r w:rsidRPr="00AF652D">
        <w:rPr>
          <w:rFonts w:ascii="Arial" w:hAnsi="Arial" w:cs="Arial"/>
          <w:sz w:val="24"/>
          <w:szCs w:val="24"/>
        </w:rPr>
        <w:t xml:space="preserve"> March 2008 – 28</w:t>
      </w:r>
      <w:r w:rsidR="00FF3542" w:rsidRPr="00AF652D">
        <w:rPr>
          <w:rFonts w:ascii="Arial" w:hAnsi="Arial" w:cs="Arial"/>
          <w:sz w:val="24"/>
          <w:szCs w:val="24"/>
          <w:vertAlign w:val="superscript"/>
        </w:rPr>
        <w:t>th</w:t>
      </w:r>
      <w:r w:rsidRPr="00AF652D">
        <w:rPr>
          <w:rFonts w:ascii="Arial" w:hAnsi="Arial" w:cs="Arial"/>
          <w:sz w:val="24"/>
          <w:szCs w:val="24"/>
        </w:rPr>
        <w:t xml:space="preserve"> February 2013)</w:t>
      </w:r>
      <w:r w:rsidR="00E3603B" w:rsidRPr="00AF652D">
        <w:rPr>
          <w:rStyle w:val="FootnoteReference"/>
          <w:rFonts w:ascii="Arial" w:hAnsi="Arial" w:cs="Arial"/>
          <w:sz w:val="24"/>
          <w:szCs w:val="24"/>
        </w:rPr>
        <w:footnoteReference w:id="63"/>
      </w:r>
    </w:p>
    <w:tbl>
      <w:tblPr>
        <w:tblW w:w="7140" w:type="dxa"/>
        <w:jc w:val="center"/>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CellMar>
          <w:left w:w="70" w:type="dxa"/>
          <w:right w:w="70" w:type="dxa"/>
        </w:tblCellMar>
        <w:tblLook w:val="00A0" w:firstRow="1" w:lastRow="0" w:firstColumn="1" w:lastColumn="0" w:noHBand="0" w:noVBand="0"/>
      </w:tblPr>
      <w:tblGrid>
        <w:gridCol w:w="4421"/>
        <w:gridCol w:w="2719"/>
      </w:tblGrid>
      <w:tr w:rsidR="0088490F" w:rsidRPr="00AF652D" w:rsidTr="00772D19">
        <w:trPr>
          <w:trHeight w:val="345"/>
          <w:jc w:val="center"/>
        </w:trPr>
        <w:tc>
          <w:tcPr>
            <w:tcW w:w="4421" w:type="dxa"/>
            <w:vMerge w:val="restart"/>
            <w:noWrap/>
            <w:vAlign w:val="center"/>
          </w:tcPr>
          <w:p w:rsidR="0088490F" w:rsidRPr="00AF652D" w:rsidRDefault="00BE2E71" w:rsidP="00AB2326">
            <w:pPr>
              <w:spacing w:after="0" w:line="240" w:lineRule="auto"/>
              <w:jc w:val="center"/>
              <w:rPr>
                <w:rFonts w:ascii="Arial" w:hAnsi="Arial" w:cs="Arial"/>
                <w:b/>
                <w:bCs/>
                <w:sz w:val="24"/>
                <w:szCs w:val="24"/>
              </w:rPr>
            </w:pPr>
            <w:r w:rsidRPr="00AF652D">
              <w:rPr>
                <w:rFonts w:ascii="Arial" w:hAnsi="Arial" w:cs="Arial"/>
                <w:b/>
                <w:bCs/>
                <w:sz w:val="24"/>
                <w:szCs w:val="24"/>
              </w:rPr>
              <w:t>Denomination of indicators</w:t>
            </w:r>
          </w:p>
        </w:tc>
        <w:tc>
          <w:tcPr>
            <w:tcW w:w="2719" w:type="dxa"/>
            <w:vMerge w:val="restart"/>
            <w:vAlign w:val="center"/>
          </w:tcPr>
          <w:p w:rsidR="0088490F" w:rsidRPr="00AF652D" w:rsidRDefault="00BE2E71" w:rsidP="00AB2326">
            <w:pPr>
              <w:spacing w:after="0" w:line="240" w:lineRule="auto"/>
              <w:jc w:val="center"/>
              <w:rPr>
                <w:rFonts w:ascii="Arial" w:hAnsi="Arial" w:cs="Arial"/>
                <w:b/>
                <w:bCs/>
                <w:sz w:val="24"/>
                <w:szCs w:val="24"/>
              </w:rPr>
            </w:pPr>
            <w:r w:rsidRPr="00AF652D">
              <w:rPr>
                <w:rFonts w:ascii="Arial" w:hAnsi="Arial" w:cs="Arial"/>
                <w:b/>
                <w:bCs/>
                <w:sz w:val="24"/>
                <w:szCs w:val="24"/>
              </w:rPr>
              <w:t>Total</w:t>
            </w: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b/>
                <w:bCs/>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402"/>
          <w:jc w:val="center"/>
        </w:trPr>
        <w:tc>
          <w:tcPr>
            <w:tcW w:w="4421" w:type="dxa"/>
            <w:vMerge w:val="restart"/>
            <w:noWrap/>
            <w:vAlign w:val="center"/>
          </w:tcPr>
          <w:p w:rsidR="0088490F" w:rsidRPr="00AF652D" w:rsidRDefault="00BE2E71" w:rsidP="00AB2326">
            <w:pPr>
              <w:spacing w:after="0" w:line="240" w:lineRule="auto"/>
              <w:rPr>
                <w:rFonts w:ascii="Arial" w:hAnsi="Arial" w:cs="Arial"/>
                <w:sz w:val="24"/>
                <w:szCs w:val="24"/>
              </w:rPr>
            </w:pPr>
            <w:r w:rsidRPr="00AF652D">
              <w:rPr>
                <w:rFonts w:ascii="Arial" w:hAnsi="Arial" w:cs="Arial"/>
                <w:sz w:val="24"/>
                <w:szCs w:val="24"/>
              </w:rPr>
              <w:t>Number of persons involved (capita)</w:t>
            </w:r>
          </w:p>
        </w:tc>
        <w:tc>
          <w:tcPr>
            <w:tcW w:w="2719" w:type="dxa"/>
            <w:vMerge w:val="restart"/>
            <w:noWrap/>
            <w:vAlign w:val="center"/>
          </w:tcPr>
          <w:p w:rsidR="0088490F" w:rsidRPr="00AF652D" w:rsidRDefault="0088490F" w:rsidP="00AB2326">
            <w:pPr>
              <w:spacing w:after="0" w:line="240" w:lineRule="auto"/>
              <w:jc w:val="center"/>
              <w:rPr>
                <w:rFonts w:ascii="Arial" w:hAnsi="Arial" w:cs="Arial"/>
                <w:b/>
                <w:bCs/>
                <w:sz w:val="24"/>
                <w:szCs w:val="24"/>
              </w:rPr>
            </w:pPr>
            <w:r w:rsidRPr="00AF652D">
              <w:rPr>
                <w:rFonts w:ascii="Arial" w:hAnsi="Arial" w:cs="Arial"/>
                <w:b/>
                <w:bCs/>
                <w:sz w:val="24"/>
                <w:szCs w:val="24"/>
              </w:rPr>
              <w:t>14 839</w:t>
            </w: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600"/>
          <w:jc w:val="center"/>
        </w:trPr>
        <w:tc>
          <w:tcPr>
            <w:tcW w:w="4421" w:type="dxa"/>
            <w:vMerge w:val="restart"/>
            <w:vAlign w:val="center"/>
          </w:tcPr>
          <w:p w:rsidR="0088490F" w:rsidRPr="00AF652D" w:rsidRDefault="00BE2E71" w:rsidP="00AB2326">
            <w:pPr>
              <w:spacing w:after="0" w:line="240" w:lineRule="auto"/>
              <w:rPr>
                <w:rFonts w:ascii="Arial" w:hAnsi="Arial" w:cs="Arial"/>
                <w:sz w:val="24"/>
                <w:szCs w:val="24"/>
              </w:rPr>
            </w:pPr>
            <w:r w:rsidRPr="00AF652D">
              <w:rPr>
                <w:rFonts w:ascii="Arial" w:hAnsi="Arial" w:cs="Arial"/>
                <w:sz w:val="24"/>
                <w:szCs w:val="24"/>
              </w:rPr>
              <w:t>Number of persons involved in trainings (capita)</w:t>
            </w:r>
          </w:p>
        </w:tc>
        <w:tc>
          <w:tcPr>
            <w:tcW w:w="2719" w:type="dxa"/>
            <w:vMerge w:val="restart"/>
            <w:noWrap/>
            <w:vAlign w:val="center"/>
          </w:tcPr>
          <w:p w:rsidR="0088490F" w:rsidRPr="00AF652D" w:rsidRDefault="0088490F" w:rsidP="00AB2326">
            <w:pPr>
              <w:spacing w:after="0" w:line="240" w:lineRule="auto"/>
              <w:jc w:val="center"/>
              <w:rPr>
                <w:rFonts w:ascii="Arial" w:hAnsi="Arial" w:cs="Arial"/>
                <w:b/>
                <w:bCs/>
                <w:sz w:val="24"/>
                <w:szCs w:val="24"/>
              </w:rPr>
            </w:pPr>
            <w:r w:rsidRPr="00AF652D">
              <w:rPr>
                <w:rFonts w:ascii="Arial" w:hAnsi="Arial" w:cs="Arial"/>
                <w:b/>
                <w:bCs/>
                <w:sz w:val="24"/>
                <w:szCs w:val="24"/>
              </w:rPr>
              <w:t>6 639</w:t>
            </w: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402"/>
          <w:jc w:val="center"/>
        </w:trPr>
        <w:tc>
          <w:tcPr>
            <w:tcW w:w="4421" w:type="dxa"/>
            <w:vMerge w:val="restart"/>
            <w:noWrap/>
            <w:vAlign w:val="center"/>
          </w:tcPr>
          <w:p w:rsidR="0088490F" w:rsidRPr="00AF652D" w:rsidRDefault="00FF3542" w:rsidP="00AB2326">
            <w:pPr>
              <w:spacing w:after="0" w:line="240" w:lineRule="auto"/>
              <w:rPr>
                <w:rFonts w:ascii="Arial" w:hAnsi="Arial" w:cs="Arial"/>
                <w:sz w:val="24"/>
                <w:szCs w:val="24"/>
              </w:rPr>
            </w:pPr>
            <w:r w:rsidRPr="00AF652D">
              <w:rPr>
                <w:rFonts w:ascii="Arial" w:hAnsi="Arial" w:cs="Arial"/>
                <w:sz w:val="24"/>
                <w:szCs w:val="24"/>
              </w:rPr>
              <w:t>Number of persons completing</w:t>
            </w:r>
            <w:r w:rsidR="00AE420E" w:rsidRPr="00AF652D">
              <w:rPr>
                <w:rFonts w:ascii="Arial" w:hAnsi="Arial" w:cs="Arial"/>
                <w:sz w:val="24"/>
                <w:szCs w:val="24"/>
              </w:rPr>
              <w:t xml:space="preserve"> </w:t>
            </w:r>
            <w:r w:rsidR="006251EB" w:rsidRPr="00AF652D">
              <w:rPr>
                <w:rFonts w:ascii="Arial" w:hAnsi="Arial" w:cs="Arial"/>
                <w:sz w:val="24"/>
                <w:szCs w:val="24"/>
              </w:rPr>
              <w:t>a training programme</w:t>
            </w:r>
            <w:r w:rsidR="00BE2E71" w:rsidRPr="00AF652D">
              <w:rPr>
                <w:rFonts w:ascii="Arial" w:hAnsi="Arial" w:cs="Arial"/>
                <w:sz w:val="24"/>
                <w:szCs w:val="24"/>
              </w:rPr>
              <w:t xml:space="preserve"> (capita)</w:t>
            </w:r>
          </w:p>
        </w:tc>
        <w:tc>
          <w:tcPr>
            <w:tcW w:w="2719" w:type="dxa"/>
            <w:vMerge w:val="restart"/>
            <w:noWrap/>
            <w:vAlign w:val="center"/>
          </w:tcPr>
          <w:p w:rsidR="0088490F" w:rsidRPr="00AF652D" w:rsidRDefault="0088490F" w:rsidP="00AB2326">
            <w:pPr>
              <w:spacing w:after="0" w:line="240" w:lineRule="auto"/>
              <w:jc w:val="center"/>
              <w:rPr>
                <w:rFonts w:ascii="Arial" w:hAnsi="Arial" w:cs="Arial"/>
                <w:b/>
                <w:bCs/>
                <w:sz w:val="24"/>
                <w:szCs w:val="24"/>
              </w:rPr>
            </w:pPr>
            <w:r w:rsidRPr="00AF652D">
              <w:rPr>
                <w:rFonts w:ascii="Arial" w:hAnsi="Arial" w:cs="Arial"/>
                <w:b/>
                <w:bCs/>
                <w:sz w:val="24"/>
                <w:szCs w:val="24"/>
              </w:rPr>
              <w:t>6 591</w:t>
            </w: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345"/>
          <w:jc w:val="center"/>
        </w:trPr>
        <w:tc>
          <w:tcPr>
            <w:tcW w:w="4421" w:type="dxa"/>
            <w:vMerge w:val="restart"/>
            <w:noWrap/>
            <w:vAlign w:val="center"/>
          </w:tcPr>
          <w:p w:rsidR="0088490F" w:rsidRPr="00AF652D" w:rsidRDefault="006251EB" w:rsidP="00AB2326">
            <w:pPr>
              <w:spacing w:after="0" w:line="240" w:lineRule="auto"/>
              <w:rPr>
                <w:rFonts w:ascii="Arial" w:hAnsi="Arial" w:cs="Arial"/>
                <w:sz w:val="24"/>
                <w:szCs w:val="24"/>
              </w:rPr>
            </w:pPr>
            <w:r w:rsidRPr="00AF652D">
              <w:rPr>
                <w:rFonts w:ascii="Arial" w:hAnsi="Arial" w:cs="Arial"/>
                <w:sz w:val="24"/>
                <w:szCs w:val="24"/>
              </w:rPr>
              <w:t>Number of persons completing a programme (capita)</w:t>
            </w:r>
          </w:p>
        </w:tc>
        <w:tc>
          <w:tcPr>
            <w:tcW w:w="2719" w:type="dxa"/>
            <w:vMerge w:val="restart"/>
            <w:noWrap/>
            <w:vAlign w:val="center"/>
          </w:tcPr>
          <w:p w:rsidR="0088490F" w:rsidRPr="00AF652D" w:rsidRDefault="0088490F" w:rsidP="00AB2326">
            <w:pPr>
              <w:spacing w:after="0" w:line="240" w:lineRule="auto"/>
              <w:jc w:val="center"/>
              <w:rPr>
                <w:rFonts w:ascii="Arial" w:hAnsi="Arial" w:cs="Arial"/>
                <w:b/>
                <w:bCs/>
                <w:sz w:val="24"/>
                <w:szCs w:val="24"/>
              </w:rPr>
            </w:pPr>
            <w:r w:rsidRPr="00AF652D">
              <w:rPr>
                <w:rFonts w:ascii="Arial" w:hAnsi="Arial" w:cs="Arial"/>
                <w:b/>
                <w:bCs/>
                <w:sz w:val="24"/>
                <w:szCs w:val="24"/>
              </w:rPr>
              <w:t>12 416</w:t>
            </w: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360"/>
          <w:jc w:val="center"/>
        </w:trPr>
        <w:tc>
          <w:tcPr>
            <w:tcW w:w="4421" w:type="dxa"/>
            <w:vMerge w:val="restart"/>
            <w:vAlign w:val="center"/>
          </w:tcPr>
          <w:p w:rsidR="0088490F" w:rsidRPr="00AF652D" w:rsidRDefault="006251EB" w:rsidP="00AB2326">
            <w:pPr>
              <w:spacing w:after="0" w:line="240" w:lineRule="auto"/>
              <w:rPr>
                <w:rFonts w:ascii="Arial" w:hAnsi="Arial" w:cs="Arial"/>
                <w:sz w:val="24"/>
                <w:szCs w:val="24"/>
              </w:rPr>
            </w:pPr>
            <w:r w:rsidRPr="00AF652D">
              <w:rPr>
                <w:rFonts w:ascii="Arial" w:hAnsi="Arial" w:cs="Arial"/>
                <w:sz w:val="24"/>
                <w:szCs w:val="24"/>
              </w:rPr>
              <w:t>Number of persons in employment 180 days after the completion of the programme</w:t>
            </w:r>
            <w:r w:rsidR="0088490F" w:rsidRPr="00AF652D">
              <w:rPr>
                <w:rFonts w:ascii="Arial" w:hAnsi="Arial" w:cs="Arial"/>
                <w:sz w:val="24"/>
                <w:szCs w:val="24"/>
              </w:rPr>
              <w:t xml:space="preserve"> (</w:t>
            </w:r>
            <w:proofErr w:type="spellStart"/>
            <w:r w:rsidR="0088490F" w:rsidRPr="00AF652D">
              <w:rPr>
                <w:rFonts w:ascii="Arial" w:hAnsi="Arial" w:cs="Arial"/>
                <w:sz w:val="24"/>
                <w:szCs w:val="24"/>
              </w:rPr>
              <w:t>fő</w:t>
            </w:r>
            <w:proofErr w:type="spellEnd"/>
            <w:r w:rsidR="0088490F" w:rsidRPr="00AF652D">
              <w:rPr>
                <w:rFonts w:ascii="Arial" w:hAnsi="Arial" w:cs="Arial"/>
                <w:sz w:val="24"/>
                <w:szCs w:val="24"/>
              </w:rPr>
              <w:t>)</w:t>
            </w:r>
          </w:p>
        </w:tc>
        <w:tc>
          <w:tcPr>
            <w:tcW w:w="2719" w:type="dxa"/>
            <w:vMerge w:val="restart"/>
            <w:noWrap/>
            <w:vAlign w:val="center"/>
          </w:tcPr>
          <w:p w:rsidR="0088490F" w:rsidRPr="00AF652D" w:rsidRDefault="0088490F" w:rsidP="00AB2326">
            <w:pPr>
              <w:spacing w:after="0" w:line="240" w:lineRule="auto"/>
              <w:jc w:val="center"/>
              <w:rPr>
                <w:rFonts w:ascii="Arial" w:hAnsi="Arial" w:cs="Arial"/>
                <w:b/>
                <w:bCs/>
                <w:sz w:val="24"/>
                <w:szCs w:val="24"/>
              </w:rPr>
            </w:pPr>
            <w:r w:rsidRPr="00AF652D">
              <w:rPr>
                <w:rFonts w:ascii="Arial" w:hAnsi="Arial" w:cs="Arial"/>
                <w:b/>
                <w:bCs/>
                <w:sz w:val="24"/>
                <w:szCs w:val="24"/>
              </w:rPr>
              <w:t>3 718</w:t>
            </w:r>
          </w:p>
        </w:tc>
      </w:tr>
      <w:tr w:rsidR="0088490F" w:rsidRPr="00AF652D" w:rsidTr="00772D19">
        <w:trPr>
          <w:trHeight w:val="360"/>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r w:rsidR="0088490F" w:rsidRPr="00AF652D" w:rsidTr="00772D19">
        <w:trPr>
          <w:trHeight w:val="345"/>
          <w:jc w:val="center"/>
        </w:trPr>
        <w:tc>
          <w:tcPr>
            <w:tcW w:w="4421" w:type="dxa"/>
            <w:vMerge/>
            <w:vAlign w:val="center"/>
          </w:tcPr>
          <w:p w:rsidR="0088490F" w:rsidRPr="00AF652D" w:rsidRDefault="0088490F" w:rsidP="00AB2326">
            <w:pPr>
              <w:spacing w:after="0" w:line="240" w:lineRule="auto"/>
              <w:rPr>
                <w:rFonts w:ascii="Arial" w:hAnsi="Arial" w:cs="Arial"/>
                <w:sz w:val="24"/>
                <w:szCs w:val="24"/>
              </w:rPr>
            </w:pPr>
          </w:p>
        </w:tc>
        <w:tc>
          <w:tcPr>
            <w:tcW w:w="2719" w:type="dxa"/>
            <w:vMerge/>
            <w:vAlign w:val="center"/>
          </w:tcPr>
          <w:p w:rsidR="0088490F" w:rsidRPr="00AF652D" w:rsidRDefault="0088490F" w:rsidP="00AB2326">
            <w:pPr>
              <w:spacing w:after="0" w:line="240" w:lineRule="auto"/>
              <w:rPr>
                <w:rFonts w:ascii="Arial" w:hAnsi="Arial" w:cs="Arial"/>
                <w:b/>
                <w:bCs/>
                <w:sz w:val="24"/>
                <w:szCs w:val="24"/>
              </w:rPr>
            </w:pPr>
          </w:p>
        </w:tc>
      </w:tr>
    </w:tbl>
    <w:p w:rsidR="0088490F" w:rsidRPr="00AF652D" w:rsidRDefault="0088490F" w:rsidP="00AB2326">
      <w:pPr>
        <w:spacing w:after="0" w:line="240" w:lineRule="auto"/>
        <w:jc w:val="both"/>
        <w:rPr>
          <w:rFonts w:ascii="Arial" w:hAnsi="Arial" w:cs="Arial"/>
          <w:sz w:val="24"/>
          <w:szCs w:val="24"/>
        </w:rPr>
      </w:pPr>
    </w:p>
    <w:p w:rsidR="00C92000" w:rsidRPr="00AF652D" w:rsidRDefault="006251EB" w:rsidP="00AB2326">
      <w:pPr>
        <w:spacing w:after="0" w:line="240" w:lineRule="auto"/>
        <w:jc w:val="both"/>
        <w:rPr>
          <w:rFonts w:ascii="Arial" w:hAnsi="Arial" w:cs="Arial"/>
          <w:sz w:val="24"/>
          <w:szCs w:val="24"/>
        </w:rPr>
      </w:pPr>
      <w:r w:rsidRPr="00AF652D">
        <w:rPr>
          <w:rFonts w:ascii="Arial" w:hAnsi="Arial" w:cs="Arial"/>
          <w:sz w:val="24"/>
          <w:szCs w:val="24"/>
        </w:rPr>
        <w:t xml:space="preserve">After the expiration of TAMOP 1.1.1, a new </w:t>
      </w:r>
      <w:r w:rsidR="00882DAD" w:rsidRPr="00AF652D">
        <w:rPr>
          <w:rFonts w:ascii="Arial" w:hAnsi="Arial" w:cs="Arial"/>
          <w:sz w:val="24"/>
          <w:szCs w:val="24"/>
        </w:rPr>
        <w:t>operational programme</w:t>
      </w:r>
      <w:r w:rsidRPr="00AF652D">
        <w:rPr>
          <w:rFonts w:ascii="Arial" w:hAnsi="Arial" w:cs="Arial"/>
          <w:sz w:val="24"/>
          <w:szCs w:val="24"/>
        </w:rPr>
        <w:t xml:space="preserve"> (EFOP</w:t>
      </w:r>
      <w:r w:rsidR="00D8052B" w:rsidRPr="00AF652D">
        <w:rPr>
          <w:rFonts w:ascii="Arial" w:hAnsi="Arial" w:cs="Arial"/>
          <w:sz w:val="24"/>
          <w:szCs w:val="24"/>
        </w:rPr>
        <w:t xml:space="preserve">-1.1.1-15) was introduced in 2016 with approximately the same profile as the precedent </w:t>
      </w:r>
      <w:r w:rsidR="00882DAD" w:rsidRPr="00AF652D">
        <w:rPr>
          <w:rFonts w:ascii="Arial" w:hAnsi="Arial" w:cs="Arial"/>
          <w:sz w:val="24"/>
          <w:szCs w:val="24"/>
        </w:rPr>
        <w:t>operational programme.</w:t>
      </w:r>
      <w:r w:rsidR="00D8052B" w:rsidRPr="00AF652D">
        <w:rPr>
          <w:rFonts w:ascii="Arial" w:hAnsi="Arial" w:cs="Arial"/>
          <w:sz w:val="24"/>
          <w:szCs w:val="24"/>
        </w:rPr>
        <w:t xml:space="preserve"> The coordination was initially </w:t>
      </w:r>
      <w:r w:rsidR="00591F8F" w:rsidRPr="00AF652D">
        <w:rPr>
          <w:rFonts w:ascii="Arial" w:hAnsi="Arial" w:cs="Arial"/>
          <w:sz w:val="24"/>
          <w:szCs w:val="24"/>
        </w:rPr>
        <w:t>performed</w:t>
      </w:r>
      <w:r w:rsidR="00D8052B" w:rsidRPr="00AF652D">
        <w:rPr>
          <w:rFonts w:ascii="Arial" w:hAnsi="Arial" w:cs="Arial"/>
          <w:sz w:val="24"/>
          <w:szCs w:val="24"/>
        </w:rPr>
        <w:t xml:space="preserve"> by the </w:t>
      </w:r>
      <w:r w:rsidR="00C92000" w:rsidRPr="00AF652D">
        <w:rPr>
          <w:rFonts w:ascii="Arial" w:hAnsi="Arial" w:cs="Arial"/>
          <w:sz w:val="24"/>
          <w:szCs w:val="24"/>
        </w:rPr>
        <w:t>National Rehabilitation and Social Office, from 1</w:t>
      </w:r>
      <w:r w:rsidR="00591F8F" w:rsidRPr="00AF652D">
        <w:rPr>
          <w:rFonts w:ascii="Arial" w:hAnsi="Arial" w:cs="Arial"/>
          <w:sz w:val="24"/>
          <w:szCs w:val="24"/>
          <w:vertAlign w:val="superscript"/>
        </w:rPr>
        <w:t>st</w:t>
      </w:r>
      <w:r w:rsidR="00C92000" w:rsidRPr="00AF652D">
        <w:rPr>
          <w:rFonts w:ascii="Arial" w:hAnsi="Arial" w:cs="Arial"/>
          <w:sz w:val="24"/>
          <w:szCs w:val="24"/>
        </w:rPr>
        <w:t xml:space="preserve"> January 2017 by the metropolitan and county government offices.</w:t>
      </w:r>
      <w:r w:rsidR="0092584C" w:rsidRPr="00AF652D">
        <w:rPr>
          <w:rStyle w:val="FootnoteReference"/>
          <w:rFonts w:ascii="Arial" w:hAnsi="Arial" w:cs="Arial"/>
          <w:sz w:val="24"/>
          <w:szCs w:val="24"/>
        </w:rPr>
        <w:footnoteReference w:id="64"/>
      </w:r>
    </w:p>
    <w:p w:rsidR="00A05ED3" w:rsidRPr="00AF652D" w:rsidRDefault="00A05ED3" w:rsidP="00AB2326">
      <w:pPr>
        <w:spacing w:after="0" w:line="240" w:lineRule="auto"/>
        <w:jc w:val="both"/>
        <w:rPr>
          <w:rFonts w:ascii="Arial" w:hAnsi="Arial" w:cs="Arial"/>
          <w:sz w:val="24"/>
          <w:szCs w:val="24"/>
        </w:rPr>
      </w:pPr>
    </w:p>
    <w:p w:rsidR="00772D19" w:rsidRPr="00AF652D" w:rsidRDefault="00772D19" w:rsidP="00AB2326">
      <w:pPr>
        <w:pStyle w:val="ListParagraph"/>
        <w:numPr>
          <w:ilvl w:val="0"/>
          <w:numId w:val="24"/>
        </w:numPr>
        <w:tabs>
          <w:tab w:val="left" w:pos="567"/>
        </w:tabs>
        <w:spacing w:after="0" w:line="240" w:lineRule="auto"/>
        <w:ind w:left="567" w:hanging="567"/>
        <w:jc w:val="both"/>
        <w:rPr>
          <w:rFonts w:ascii="Arial" w:hAnsi="Arial" w:cs="Arial"/>
          <w:sz w:val="24"/>
          <w:szCs w:val="24"/>
        </w:rPr>
      </w:pPr>
      <w:r w:rsidRPr="00AF652D">
        <w:rPr>
          <w:rFonts w:ascii="Arial" w:hAnsi="Arial" w:cs="Arial"/>
          <w:sz w:val="24"/>
          <w:szCs w:val="24"/>
        </w:rPr>
        <w:t>Rehabilitation card</w:t>
      </w:r>
    </w:p>
    <w:p w:rsidR="00AB2326" w:rsidRPr="00AF652D" w:rsidRDefault="00AB2326" w:rsidP="00AB2326">
      <w:pPr>
        <w:spacing w:after="0" w:line="240" w:lineRule="auto"/>
        <w:jc w:val="both"/>
        <w:rPr>
          <w:rFonts w:ascii="Arial" w:hAnsi="Arial" w:cs="Arial"/>
          <w:sz w:val="24"/>
          <w:szCs w:val="24"/>
        </w:rPr>
      </w:pPr>
    </w:p>
    <w:p w:rsidR="00B3771F" w:rsidRPr="00AF652D" w:rsidRDefault="00B3771F" w:rsidP="00AB2326">
      <w:pPr>
        <w:spacing w:after="0" w:line="240" w:lineRule="auto"/>
        <w:jc w:val="both"/>
        <w:rPr>
          <w:rFonts w:ascii="Arial" w:hAnsi="Arial" w:cs="Arial"/>
          <w:sz w:val="24"/>
          <w:szCs w:val="24"/>
        </w:rPr>
      </w:pPr>
      <w:r w:rsidRPr="00AF652D">
        <w:rPr>
          <w:rFonts w:ascii="Arial" w:hAnsi="Arial" w:cs="Arial"/>
          <w:sz w:val="24"/>
          <w:szCs w:val="24"/>
        </w:rPr>
        <w:t xml:space="preserve">Specific groups of persons with reduced working abilities are eligible for “rehabilitation card”. </w:t>
      </w:r>
      <w:r w:rsidR="00B21CC1" w:rsidRPr="00AF652D">
        <w:rPr>
          <w:rFonts w:ascii="Arial" w:hAnsi="Arial" w:cs="Arial"/>
          <w:sz w:val="24"/>
          <w:szCs w:val="24"/>
        </w:rPr>
        <w:t xml:space="preserve">The card </w:t>
      </w:r>
      <w:r w:rsidR="00886EAA" w:rsidRPr="00AF652D">
        <w:rPr>
          <w:rFonts w:ascii="Arial" w:hAnsi="Arial" w:cs="Arial"/>
          <w:sz w:val="24"/>
          <w:szCs w:val="24"/>
        </w:rPr>
        <w:t>owner</w:t>
      </w:r>
      <w:r w:rsidR="00882DAD" w:rsidRPr="00AF652D">
        <w:rPr>
          <w:rFonts w:ascii="Arial" w:hAnsi="Arial" w:cs="Arial"/>
          <w:sz w:val="24"/>
          <w:szCs w:val="24"/>
        </w:rPr>
        <w:t xml:space="preserve"> employee </w:t>
      </w:r>
      <w:r w:rsidR="00B21CC1" w:rsidRPr="00AF652D">
        <w:rPr>
          <w:rFonts w:ascii="Arial" w:hAnsi="Arial" w:cs="Arial"/>
          <w:sz w:val="24"/>
          <w:szCs w:val="24"/>
        </w:rPr>
        <w:t>can deposit</w:t>
      </w:r>
      <w:r w:rsidR="00882DAD" w:rsidRPr="00AF652D">
        <w:rPr>
          <w:rFonts w:ascii="Arial" w:hAnsi="Arial" w:cs="Arial"/>
          <w:sz w:val="24"/>
          <w:szCs w:val="24"/>
        </w:rPr>
        <w:t xml:space="preserve"> her/his card</w:t>
      </w:r>
      <w:r w:rsidR="00B21CC1" w:rsidRPr="00AF652D">
        <w:rPr>
          <w:rFonts w:ascii="Arial" w:hAnsi="Arial" w:cs="Arial"/>
          <w:sz w:val="24"/>
          <w:szCs w:val="24"/>
        </w:rPr>
        <w:t xml:space="preserve"> at the employer, which</w:t>
      </w:r>
      <w:r w:rsidR="00882DAD" w:rsidRPr="00AF652D">
        <w:rPr>
          <w:rFonts w:ascii="Arial" w:hAnsi="Arial" w:cs="Arial"/>
          <w:sz w:val="24"/>
          <w:szCs w:val="24"/>
        </w:rPr>
        <w:t>, with reference to the card,</w:t>
      </w:r>
      <w:r w:rsidR="00B21CC1" w:rsidRPr="00AF652D">
        <w:rPr>
          <w:rFonts w:ascii="Arial" w:hAnsi="Arial" w:cs="Arial"/>
          <w:sz w:val="24"/>
          <w:szCs w:val="24"/>
        </w:rPr>
        <w:t xml:space="preserve"> can </w:t>
      </w:r>
      <w:r w:rsidR="002812BD" w:rsidRPr="00AF652D">
        <w:rPr>
          <w:rFonts w:ascii="Arial" w:hAnsi="Arial" w:cs="Arial"/>
          <w:sz w:val="24"/>
          <w:szCs w:val="24"/>
        </w:rPr>
        <w:t xml:space="preserve">claim </w:t>
      </w:r>
      <w:r w:rsidR="002811E7" w:rsidRPr="00AF652D">
        <w:rPr>
          <w:rFonts w:ascii="Arial" w:hAnsi="Arial" w:cs="Arial"/>
          <w:sz w:val="24"/>
          <w:szCs w:val="24"/>
        </w:rPr>
        <w:t>relieves</w:t>
      </w:r>
      <w:r w:rsidR="00585773" w:rsidRPr="00AF652D">
        <w:rPr>
          <w:rFonts w:ascii="Arial" w:hAnsi="Arial" w:cs="Arial"/>
          <w:sz w:val="24"/>
          <w:szCs w:val="24"/>
        </w:rPr>
        <w:t xml:space="preserve"> from the employment-related </w:t>
      </w:r>
      <w:r w:rsidR="00C23119" w:rsidRPr="00AF652D">
        <w:rPr>
          <w:rFonts w:ascii="Arial" w:hAnsi="Arial" w:cs="Arial"/>
          <w:sz w:val="24"/>
          <w:szCs w:val="24"/>
        </w:rPr>
        <w:t>taxes</w:t>
      </w:r>
      <w:r w:rsidR="00B21CC1" w:rsidRPr="00AF652D">
        <w:rPr>
          <w:rFonts w:ascii="Arial" w:hAnsi="Arial" w:cs="Arial"/>
          <w:sz w:val="24"/>
          <w:szCs w:val="24"/>
        </w:rPr>
        <w:t>.</w:t>
      </w:r>
      <w:r w:rsidR="00AE420E" w:rsidRPr="00AF652D">
        <w:rPr>
          <w:rFonts w:ascii="Arial" w:hAnsi="Arial" w:cs="Arial"/>
          <w:sz w:val="24"/>
          <w:szCs w:val="24"/>
        </w:rPr>
        <w:t xml:space="preserve"> </w:t>
      </w:r>
      <w:r w:rsidR="00255295" w:rsidRPr="00AF652D">
        <w:rPr>
          <w:rFonts w:ascii="Arial" w:hAnsi="Arial" w:cs="Arial"/>
          <w:sz w:val="24"/>
          <w:szCs w:val="24"/>
        </w:rPr>
        <w:t xml:space="preserve">Although the card owner </w:t>
      </w:r>
      <w:r w:rsidR="00CF5CF2" w:rsidRPr="00AF652D">
        <w:rPr>
          <w:rFonts w:ascii="Arial" w:hAnsi="Arial" w:cs="Arial"/>
          <w:sz w:val="24"/>
          <w:szCs w:val="24"/>
        </w:rPr>
        <w:t xml:space="preserve">person </w:t>
      </w:r>
      <w:r w:rsidR="00255295" w:rsidRPr="00AF652D">
        <w:rPr>
          <w:rFonts w:ascii="Arial" w:hAnsi="Arial" w:cs="Arial"/>
          <w:sz w:val="24"/>
          <w:szCs w:val="24"/>
        </w:rPr>
        <w:t>has no direct benefit from the card, t</w:t>
      </w:r>
      <w:r w:rsidR="00CD5296" w:rsidRPr="00AF652D">
        <w:rPr>
          <w:rFonts w:ascii="Arial" w:hAnsi="Arial" w:cs="Arial"/>
          <w:sz w:val="24"/>
          <w:szCs w:val="24"/>
        </w:rPr>
        <w:t xml:space="preserve">he claimable tax relief may have an incentive impact on the employers to hire </w:t>
      </w:r>
      <w:r w:rsidR="00534EA1" w:rsidRPr="00AF652D">
        <w:rPr>
          <w:rFonts w:ascii="Arial" w:hAnsi="Arial" w:cs="Arial"/>
          <w:sz w:val="24"/>
          <w:szCs w:val="24"/>
        </w:rPr>
        <w:t xml:space="preserve">card </w:t>
      </w:r>
      <w:r w:rsidR="00886EAA" w:rsidRPr="00AF652D">
        <w:rPr>
          <w:rFonts w:ascii="Arial" w:hAnsi="Arial" w:cs="Arial"/>
          <w:sz w:val="24"/>
          <w:szCs w:val="24"/>
        </w:rPr>
        <w:t xml:space="preserve">owner </w:t>
      </w:r>
      <w:r w:rsidR="00534EA1" w:rsidRPr="00AF652D">
        <w:rPr>
          <w:rFonts w:ascii="Arial" w:hAnsi="Arial" w:cs="Arial"/>
          <w:sz w:val="24"/>
          <w:szCs w:val="24"/>
        </w:rPr>
        <w:t>persons</w:t>
      </w:r>
      <w:r w:rsidR="00CF5CF2" w:rsidRPr="00AF652D">
        <w:rPr>
          <w:rFonts w:ascii="Arial" w:hAnsi="Arial" w:cs="Arial"/>
          <w:sz w:val="24"/>
          <w:szCs w:val="24"/>
        </w:rPr>
        <w:t xml:space="preserve">, so </w:t>
      </w:r>
      <w:r w:rsidR="00821379" w:rsidRPr="00AF652D">
        <w:rPr>
          <w:rFonts w:ascii="Arial" w:hAnsi="Arial" w:cs="Arial"/>
          <w:sz w:val="24"/>
          <w:szCs w:val="24"/>
        </w:rPr>
        <w:t>these latter</w:t>
      </w:r>
      <w:r w:rsidR="00CF5CF2" w:rsidRPr="00AF652D">
        <w:rPr>
          <w:rFonts w:ascii="Arial" w:hAnsi="Arial" w:cs="Arial"/>
          <w:sz w:val="24"/>
          <w:szCs w:val="24"/>
        </w:rPr>
        <w:t xml:space="preserve"> </w:t>
      </w:r>
      <w:r w:rsidR="00CF5CF2" w:rsidRPr="00AF652D">
        <w:rPr>
          <w:rFonts w:ascii="Arial" w:hAnsi="Arial" w:cs="Arial"/>
          <w:sz w:val="24"/>
          <w:szCs w:val="24"/>
        </w:rPr>
        <w:lastRenderedPageBreak/>
        <w:t xml:space="preserve">may </w:t>
      </w:r>
      <w:r w:rsidR="00821379" w:rsidRPr="00AF652D">
        <w:rPr>
          <w:rFonts w:ascii="Arial" w:hAnsi="Arial" w:cs="Arial"/>
          <w:sz w:val="24"/>
          <w:szCs w:val="24"/>
        </w:rPr>
        <w:t xml:space="preserve">gain an </w:t>
      </w:r>
      <w:r w:rsidR="00CF5CF2" w:rsidRPr="00AF652D">
        <w:rPr>
          <w:rFonts w:ascii="Arial" w:hAnsi="Arial" w:cs="Arial"/>
          <w:sz w:val="24"/>
          <w:szCs w:val="24"/>
        </w:rPr>
        <w:t>advantage in a recruitment process</w:t>
      </w:r>
      <w:r w:rsidR="00821379" w:rsidRPr="00AF652D">
        <w:rPr>
          <w:rFonts w:ascii="Arial" w:hAnsi="Arial" w:cs="Arial"/>
          <w:sz w:val="24"/>
          <w:szCs w:val="24"/>
        </w:rPr>
        <w:t xml:space="preserve"> compared to persons having no rehabilitation card</w:t>
      </w:r>
      <w:r w:rsidR="00534EA1" w:rsidRPr="00AF652D">
        <w:rPr>
          <w:rFonts w:ascii="Arial" w:hAnsi="Arial" w:cs="Arial"/>
          <w:sz w:val="24"/>
          <w:szCs w:val="24"/>
        </w:rPr>
        <w:t xml:space="preserve">. </w:t>
      </w:r>
      <w:r w:rsidR="00FC782A" w:rsidRPr="00AF652D">
        <w:rPr>
          <w:rFonts w:ascii="Arial" w:hAnsi="Arial" w:cs="Arial"/>
          <w:sz w:val="24"/>
          <w:szCs w:val="24"/>
        </w:rPr>
        <w:t>R</w:t>
      </w:r>
      <w:r w:rsidR="00534EA1" w:rsidRPr="00AF652D">
        <w:rPr>
          <w:rFonts w:ascii="Arial" w:hAnsi="Arial" w:cs="Arial"/>
          <w:sz w:val="24"/>
          <w:szCs w:val="24"/>
        </w:rPr>
        <w:t>ehabilitation card can be claimed also by persons with disabilities already having a job</w:t>
      </w:r>
      <w:r w:rsidR="00886EAA" w:rsidRPr="00AF652D">
        <w:rPr>
          <w:rFonts w:ascii="Arial" w:hAnsi="Arial" w:cs="Arial"/>
          <w:sz w:val="24"/>
          <w:szCs w:val="24"/>
        </w:rPr>
        <w:t>, if they</w:t>
      </w:r>
      <w:r w:rsidR="00AE420E" w:rsidRPr="00AF652D">
        <w:rPr>
          <w:rFonts w:ascii="Arial" w:hAnsi="Arial" w:cs="Arial"/>
          <w:sz w:val="24"/>
          <w:szCs w:val="24"/>
        </w:rPr>
        <w:t xml:space="preserve"> </w:t>
      </w:r>
      <w:r w:rsidR="00886EAA" w:rsidRPr="00AF652D">
        <w:rPr>
          <w:rFonts w:ascii="Arial" w:hAnsi="Arial" w:cs="Arial"/>
          <w:sz w:val="24"/>
          <w:szCs w:val="24"/>
        </w:rPr>
        <w:t>meet</w:t>
      </w:r>
      <w:r w:rsidR="00FC782A" w:rsidRPr="00AF652D">
        <w:rPr>
          <w:rFonts w:ascii="Arial" w:hAnsi="Arial" w:cs="Arial"/>
          <w:sz w:val="24"/>
          <w:szCs w:val="24"/>
        </w:rPr>
        <w:t xml:space="preserve"> the eligibility criteria</w:t>
      </w:r>
      <w:r w:rsidR="00751664" w:rsidRPr="00AF652D">
        <w:rPr>
          <w:rFonts w:ascii="Arial" w:hAnsi="Arial" w:cs="Arial"/>
          <w:sz w:val="24"/>
          <w:szCs w:val="24"/>
        </w:rPr>
        <w:t xml:space="preserve">. </w:t>
      </w:r>
      <w:proofErr w:type="gramStart"/>
      <w:r w:rsidR="00E631C4" w:rsidRPr="00AF652D">
        <w:rPr>
          <w:rFonts w:ascii="Arial" w:hAnsi="Arial" w:cs="Arial"/>
          <w:sz w:val="24"/>
          <w:szCs w:val="24"/>
        </w:rPr>
        <w:t>So</w:t>
      </w:r>
      <w:proofErr w:type="gramEnd"/>
      <w:r w:rsidR="00E631C4" w:rsidRPr="00AF652D">
        <w:rPr>
          <w:rFonts w:ascii="Arial" w:hAnsi="Arial" w:cs="Arial"/>
          <w:sz w:val="24"/>
          <w:szCs w:val="24"/>
        </w:rPr>
        <w:t xml:space="preserve"> they can save wage </w:t>
      </w:r>
      <w:r w:rsidR="00FC782A" w:rsidRPr="00AF652D">
        <w:rPr>
          <w:rFonts w:ascii="Arial" w:hAnsi="Arial" w:cs="Arial"/>
          <w:sz w:val="24"/>
          <w:szCs w:val="24"/>
        </w:rPr>
        <w:t>costs for their employer, which improves their chances to retain their job.</w:t>
      </w:r>
      <w:r w:rsidR="0092584C" w:rsidRPr="00AF652D">
        <w:rPr>
          <w:rStyle w:val="FootnoteReference"/>
          <w:rFonts w:ascii="Arial" w:hAnsi="Arial" w:cs="Arial"/>
          <w:sz w:val="24"/>
          <w:szCs w:val="24"/>
        </w:rPr>
        <w:footnoteReference w:id="65"/>
      </w:r>
    </w:p>
    <w:p w:rsidR="00585773" w:rsidRPr="00AF652D" w:rsidRDefault="00585773" w:rsidP="00AB2326">
      <w:pPr>
        <w:spacing w:after="0" w:line="240" w:lineRule="auto"/>
        <w:jc w:val="both"/>
        <w:rPr>
          <w:rFonts w:ascii="Arial" w:hAnsi="Arial" w:cs="Arial"/>
          <w:sz w:val="24"/>
          <w:szCs w:val="24"/>
        </w:rPr>
      </w:pPr>
    </w:p>
    <w:p w:rsidR="00585773" w:rsidRPr="00AF652D" w:rsidRDefault="00585773" w:rsidP="00AB2326">
      <w:pPr>
        <w:pStyle w:val="ListParagraph"/>
        <w:numPr>
          <w:ilvl w:val="0"/>
          <w:numId w:val="24"/>
        </w:numPr>
        <w:spacing w:after="0" w:line="240" w:lineRule="auto"/>
        <w:ind w:left="567" w:hanging="567"/>
        <w:jc w:val="both"/>
        <w:rPr>
          <w:rFonts w:ascii="Arial" w:hAnsi="Arial" w:cs="Arial"/>
          <w:sz w:val="24"/>
          <w:szCs w:val="24"/>
        </w:rPr>
      </w:pPr>
      <w:r w:rsidRPr="00AF652D">
        <w:rPr>
          <w:rFonts w:ascii="Arial" w:hAnsi="Arial" w:cs="Arial"/>
          <w:sz w:val="24"/>
          <w:szCs w:val="24"/>
        </w:rPr>
        <w:t>Quota/levy system</w:t>
      </w:r>
    </w:p>
    <w:p w:rsidR="00AB2326" w:rsidRPr="00AF652D" w:rsidRDefault="00AB2326" w:rsidP="00AB2326">
      <w:pPr>
        <w:spacing w:after="0" w:line="240" w:lineRule="auto"/>
        <w:jc w:val="both"/>
        <w:rPr>
          <w:rFonts w:ascii="Arial" w:hAnsi="Arial" w:cs="Arial"/>
          <w:sz w:val="24"/>
          <w:szCs w:val="24"/>
        </w:rPr>
      </w:pPr>
    </w:p>
    <w:p w:rsidR="00B3771F" w:rsidRPr="00AF652D" w:rsidRDefault="00585773" w:rsidP="00AB2326">
      <w:pPr>
        <w:spacing w:after="0" w:line="240" w:lineRule="auto"/>
        <w:jc w:val="both"/>
        <w:rPr>
          <w:rFonts w:ascii="Arial" w:hAnsi="Arial" w:cs="Arial"/>
          <w:sz w:val="24"/>
          <w:szCs w:val="24"/>
        </w:rPr>
      </w:pPr>
      <w:r w:rsidRPr="00AF652D">
        <w:rPr>
          <w:rFonts w:ascii="Arial" w:hAnsi="Arial" w:cs="Arial"/>
          <w:sz w:val="24"/>
          <w:szCs w:val="24"/>
        </w:rPr>
        <w:t xml:space="preserve">All employers hiring more than 20 persons are expected to </w:t>
      </w:r>
      <w:r w:rsidR="00C30F2B" w:rsidRPr="00AF652D">
        <w:rPr>
          <w:rFonts w:ascii="Arial" w:hAnsi="Arial" w:cs="Arial"/>
          <w:sz w:val="24"/>
          <w:szCs w:val="24"/>
        </w:rPr>
        <w:t>fill 5 % of the staff with persons with reduced working abilities. In failure of meeting this requirement the employer is obliged to pay levy per missing capita.</w:t>
      </w:r>
      <w:r w:rsidR="00F9784F" w:rsidRPr="00AF652D">
        <w:rPr>
          <w:rStyle w:val="FootnoteReference"/>
          <w:rFonts w:ascii="Arial" w:hAnsi="Arial" w:cs="Arial"/>
          <w:sz w:val="24"/>
          <w:szCs w:val="24"/>
        </w:rPr>
        <w:footnoteReference w:id="66"/>
      </w:r>
    </w:p>
    <w:p w:rsidR="00BA2F2E" w:rsidRPr="00AF652D" w:rsidRDefault="00BA2F2E" w:rsidP="00AB2326">
      <w:pPr>
        <w:spacing w:after="0" w:line="240" w:lineRule="auto"/>
        <w:jc w:val="both"/>
        <w:rPr>
          <w:rFonts w:ascii="Arial" w:hAnsi="Arial" w:cs="Arial"/>
          <w:sz w:val="24"/>
          <w:szCs w:val="24"/>
        </w:rPr>
      </w:pPr>
    </w:p>
    <w:p w:rsidR="006251EB" w:rsidRPr="00AF652D" w:rsidRDefault="009C62C3" w:rsidP="00AB2326">
      <w:pPr>
        <w:pStyle w:val="ListParagraph"/>
        <w:numPr>
          <w:ilvl w:val="0"/>
          <w:numId w:val="24"/>
        </w:numPr>
        <w:spacing w:after="0" w:line="240" w:lineRule="auto"/>
        <w:ind w:left="567" w:hanging="567"/>
        <w:jc w:val="both"/>
        <w:rPr>
          <w:rFonts w:ascii="Arial" w:hAnsi="Arial" w:cs="Arial"/>
          <w:sz w:val="24"/>
          <w:szCs w:val="24"/>
        </w:rPr>
      </w:pPr>
      <w:r w:rsidRPr="00AF652D">
        <w:rPr>
          <w:rFonts w:ascii="Arial" w:hAnsi="Arial" w:cs="Arial"/>
          <w:sz w:val="24"/>
          <w:szCs w:val="24"/>
        </w:rPr>
        <w:t>Support</w:t>
      </w:r>
      <w:r w:rsidR="00C72D31" w:rsidRPr="00AF652D">
        <w:rPr>
          <w:rFonts w:ascii="Arial" w:hAnsi="Arial" w:cs="Arial"/>
          <w:sz w:val="24"/>
          <w:szCs w:val="24"/>
        </w:rPr>
        <w:t>ing non-accredited employers hiring persons with reduced working abilities</w:t>
      </w:r>
    </w:p>
    <w:p w:rsidR="00AB2326" w:rsidRPr="00AF652D" w:rsidRDefault="00AB2326" w:rsidP="00AB2326">
      <w:pPr>
        <w:spacing w:after="0" w:line="240" w:lineRule="auto"/>
        <w:ind w:left="360"/>
        <w:jc w:val="both"/>
        <w:rPr>
          <w:rFonts w:ascii="Arial" w:hAnsi="Arial" w:cs="Arial"/>
          <w:sz w:val="24"/>
          <w:szCs w:val="24"/>
        </w:rPr>
      </w:pPr>
    </w:p>
    <w:p w:rsidR="00D61DE3" w:rsidRPr="00AF652D" w:rsidRDefault="00C72D31" w:rsidP="00AB2326">
      <w:pPr>
        <w:spacing w:after="0" w:line="240" w:lineRule="auto"/>
        <w:jc w:val="both"/>
        <w:rPr>
          <w:rFonts w:ascii="Arial" w:hAnsi="Arial" w:cs="Arial"/>
          <w:sz w:val="24"/>
          <w:szCs w:val="24"/>
        </w:rPr>
      </w:pPr>
      <w:r w:rsidRPr="00AF652D">
        <w:rPr>
          <w:rFonts w:ascii="Arial" w:hAnsi="Arial" w:cs="Arial"/>
          <w:sz w:val="24"/>
          <w:szCs w:val="24"/>
        </w:rPr>
        <w:t>Non-accredited employers may also be granted subsidie</w:t>
      </w:r>
      <w:r w:rsidR="00493238" w:rsidRPr="00AF652D">
        <w:rPr>
          <w:rFonts w:ascii="Arial" w:hAnsi="Arial" w:cs="Arial"/>
          <w:sz w:val="24"/>
          <w:szCs w:val="24"/>
        </w:rPr>
        <w:t xml:space="preserve">s related to the employment of persons with reduced working abilities, if this employment </w:t>
      </w:r>
      <w:r w:rsidR="00D86F28" w:rsidRPr="00AF652D">
        <w:rPr>
          <w:rFonts w:ascii="Arial" w:hAnsi="Arial" w:cs="Arial"/>
          <w:sz w:val="24"/>
          <w:szCs w:val="24"/>
        </w:rPr>
        <w:t>contributes to the expansion of employment</w:t>
      </w:r>
      <w:r w:rsidR="00CB09CC" w:rsidRPr="00AF652D">
        <w:rPr>
          <w:rFonts w:ascii="Arial" w:hAnsi="Arial" w:cs="Arial"/>
          <w:sz w:val="24"/>
          <w:szCs w:val="24"/>
        </w:rPr>
        <w:t>. 60 % of the wage costs and the related duties can be reimbursed in the framework of this scheme. No other costs are covered.</w:t>
      </w:r>
      <w:r w:rsidR="00D5718B" w:rsidRPr="00AF652D">
        <w:rPr>
          <w:rStyle w:val="FootnoteReference"/>
          <w:rFonts w:ascii="Arial" w:hAnsi="Arial" w:cs="Arial"/>
          <w:sz w:val="24"/>
          <w:szCs w:val="24"/>
        </w:rPr>
        <w:footnoteReference w:id="67"/>
      </w:r>
    </w:p>
    <w:p w:rsidR="00297521" w:rsidRPr="00AF652D" w:rsidRDefault="00297521"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 xml:space="preserve">Support for flexible working arrangements </w:t>
      </w:r>
    </w:p>
    <w:p w:rsidR="00020C3C" w:rsidRPr="00AF652D" w:rsidRDefault="00020C3C" w:rsidP="00AB2326">
      <w:pPr>
        <w:tabs>
          <w:tab w:val="left" w:pos="2694"/>
        </w:tabs>
        <w:spacing w:after="0" w:line="240" w:lineRule="auto"/>
        <w:rPr>
          <w:rFonts w:ascii="Arial" w:hAnsi="Arial" w:cs="Arial"/>
          <w:sz w:val="24"/>
          <w:szCs w:val="24"/>
        </w:rPr>
      </w:pPr>
    </w:p>
    <w:p w:rsidR="00FA7D4D" w:rsidRPr="00AF652D" w:rsidRDefault="00FA7D4D" w:rsidP="00AB2326">
      <w:pPr>
        <w:tabs>
          <w:tab w:val="left" w:pos="2694"/>
        </w:tabs>
        <w:spacing w:after="0" w:line="240" w:lineRule="auto"/>
        <w:rPr>
          <w:rFonts w:ascii="Arial" w:hAnsi="Arial" w:cs="Arial"/>
          <w:i/>
          <w:sz w:val="24"/>
          <w:szCs w:val="24"/>
        </w:rPr>
      </w:pPr>
      <w:r w:rsidRPr="00AF652D">
        <w:rPr>
          <w:rFonts w:ascii="Arial" w:hAnsi="Arial" w:cs="Arial"/>
          <w:i/>
          <w:sz w:val="24"/>
          <w:szCs w:val="24"/>
        </w:rPr>
        <w:t xml:space="preserve">What measures exist to permit or support flexible working arrangements for persons with disabilities? This question relates to pillar theme 2. For </w:t>
      </w:r>
      <w:proofErr w:type="gramStart"/>
      <w:r w:rsidRPr="00AF652D">
        <w:rPr>
          <w:rFonts w:ascii="Arial" w:hAnsi="Arial" w:cs="Arial"/>
          <w:i/>
          <w:sz w:val="24"/>
          <w:szCs w:val="24"/>
        </w:rPr>
        <w:t>example</w:t>
      </w:r>
      <w:proofErr w:type="gramEnd"/>
      <w:r w:rsidRPr="00AF652D">
        <w:rPr>
          <w:rFonts w:ascii="Arial" w:hAnsi="Arial" w:cs="Arial"/>
          <w:i/>
          <w:sz w:val="24"/>
          <w:szCs w:val="24"/>
        </w:rPr>
        <w:t xml:space="preserve"> measures that support:</w:t>
      </w:r>
    </w:p>
    <w:p w:rsidR="00FA7D4D" w:rsidRPr="00AF652D" w:rsidRDefault="00FA7D4D" w:rsidP="00AB2326">
      <w:pPr>
        <w:pStyle w:val="ListParagraph"/>
        <w:numPr>
          <w:ilvl w:val="0"/>
          <w:numId w:val="6"/>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Working at non-standard times or non-standard hours, working from home etc.</w:t>
      </w:r>
    </w:p>
    <w:p w:rsidR="00FA7D4D" w:rsidRPr="00AF652D" w:rsidRDefault="00FA7D4D" w:rsidP="00AB2326">
      <w:pPr>
        <w:pStyle w:val="ListParagraph"/>
        <w:numPr>
          <w:ilvl w:val="0"/>
          <w:numId w:val="6"/>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Please identify any examples of promising practice </w:t>
      </w:r>
    </w:p>
    <w:p w:rsidR="00020C3C" w:rsidRPr="00AF652D" w:rsidRDefault="00020C3C" w:rsidP="00AB2326">
      <w:pPr>
        <w:tabs>
          <w:tab w:val="left" w:pos="2694"/>
        </w:tabs>
        <w:spacing w:after="0" w:line="240" w:lineRule="auto"/>
        <w:rPr>
          <w:rFonts w:ascii="Arial" w:hAnsi="Arial" w:cs="Arial"/>
          <w:sz w:val="24"/>
          <w:szCs w:val="24"/>
        </w:rPr>
      </w:pPr>
    </w:p>
    <w:p w:rsidR="00855A79" w:rsidRPr="00AF652D" w:rsidRDefault="00E974D7"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The Act I of 2012 on the Labour Code (hereinafter: LC)</w:t>
      </w:r>
      <w:r w:rsidR="00170C8C" w:rsidRPr="00AF652D">
        <w:rPr>
          <w:rStyle w:val="FootnoteReference"/>
          <w:rFonts w:ascii="Arial" w:hAnsi="Arial" w:cs="Arial"/>
          <w:sz w:val="24"/>
          <w:szCs w:val="24"/>
        </w:rPr>
        <w:footnoteReference w:id="68"/>
      </w:r>
      <w:r w:rsidRPr="00AF652D">
        <w:rPr>
          <w:rFonts w:ascii="Arial" w:hAnsi="Arial" w:cs="Arial"/>
          <w:sz w:val="24"/>
          <w:szCs w:val="24"/>
        </w:rPr>
        <w:t xml:space="preserve"> stipulates that the employer</w:t>
      </w:r>
      <w:r w:rsidR="004E7080" w:rsidRPr="00AF652D">
        <w:rPr>
          <w:rFonts w:ascii="Arial" w:hAnsi="Arial" w:cs="Arial"/>
          <w:sz w:val="24"/>
          <w:szCs w:val="24"/>
        </w:rPr>
        <w:t xml:space="preserve"> is obliged to meet the reasonable accommodation requirement in the course of the employment of persons with disabilities.</w:t>
      </w:r>
      <w:r w:rsidR="00FF6AE8" w:rsidRPr="00AF652D">
        <w:rPr>
          <w:rStyle w:val="FootnoteReference"/>
          <w:rFonts w:ascii="Arial" w:hAnsi="Arial" w:cs="Arial"/>
          <w:sz w:val="24"/>
          <w:szCs w:val="24"/>
        </w:rPr>
        <w:footnoteReference w:id="69"/>
      </w:r>
      <w:r w:rsidR="008E666D" w:rsidRPr="00AF652D">
        <w:rPr>
          <w:rFonts w:ascii="Arial" w:hAnsi="Arial" w:cs="Arial"/>
          <w:sz w:val="24"/>
          <w:szCs w:val="24"/>
        </w:rPr>
        <w:t xml:space="preserve"> </w:t>
      </w:r>
      <w:r w:rsidR="00C43BEB" w:rsidRPr="00AF652D">
        <w:rPr>
          <w:rFonts w:ascii="Arial" w:hAnsi="Arial" w:cs="Arial"/>
          <w:sz w:val="24"/>
          <w:szCs w:val="24"/>
        </w:rPr>
        <w:t xml:space="preserve">Employment laws concerning the public sphere also </w:t>
      </w:r>
      <w:r w:rsidR="003947D5" w:rsidRPr="00AF652D">
        <w:rPr>
          <w:rFonts w:ascii="Arial" w:hAnsi="Arial" w:cs="Arial"/>
          <w:sz w:val="24"/>
          <w:szCs w:val="24"/>
        </w:rPr>
        <w:t>enshrine</w:t>
      </w:r>
      <w:r w:rsidR="00C43BEB" w:rsidRPr="00AF652D">
        <w:rPr>
          <w:rFonts w:ascii="Arial" w:hAnsi="Arial" w:cs="Arial"/>
          <w:sz w:val="24"/>
          <w:szCs w:val="24"/>
        </w:rPr>
        <w:t xml:space="preserve"> parallel provision</w:t>
      </w:r>
      <w:r w:rsidR="003947D5" w:rsidRPr="00AF652D">
        <w:rPr>
          <w:rFonts w:ascii="Arial" w:hAnsi="Arial" w:cs="Arial"/>
          <w:sz w:val="24"/>
          <w:szCs w:val="24"/>
        </w:rPr>
        <w:t>s</w:t>
      </w:r>
      <w:r w:rsidR="00855A79" w:rsidRPr="00AF652D">
        <w:rPr>
          <w:rFonts w:ascii="Arial" w:hAnsi="Arial" w:cs="Arial"/>
          <w:sz w:val="24"/>
          <w:szCs w:val="24"/>
        </w:rPr>
        <w:t>.</w:t>
      </w:r>
      <w:r w:rsidR="005E397B" w:rsidRPr="00AF652D">
        <w:rPr>
          <w:rStyle w:val="FootnoteReference"/>
          <w:rFonts w:ascii="Arial" w:hAnsi="Arial" w:cs="Arial"/>
          <w:sz w:val="24"/>
          <w:szCs w:val="24"/>
        </w:rPr>
        <w:footnoteReference w:id="70"/>
      </w:r>
      <w:r w:rsidR="00855A79" w:rsidRPr="00AF652D">
        <w:rPr>
          <w:rFonts w:ascii="Arial" w:hAnsi="Arial" w:cs="Arial"/>
          <w:sz w:val="24"/>
          <w:szCs w:val="24"/>
        </w:rPr>
        <w:t xml:space="preserve"> On the grounds of these provisions, employers should </w:t>
      </w:r>
      <w:r w:rsidR="00F4216D" w:rsidRPr="00AF652D">
        <w:rPr>
          <w:rFonts w:ascii="Arial" w:hAnsi="Arial" w:cs="Arial"/>
          <w:sz w:val="24"/>
          <w:szCs w:val="24"/>
        </w:rPr>
        <w:t xml:space="preserve">make </w:t>
      </w:r>
      <w:r w:rsidR="00855A79" w:rsidRPr="00AF652D">
        <w:rPr>
          <w:rFonts w:ascii="Arial" w:hAnsi="Arial" w:cs="Arial"/>
          <w:sz w:val="24"/>
          <w:szCs w:val="24"/>
        </w:rPr>
        <w:t>any</w:t>
      </w:r>
      <w:r w:rsidR="00F4216D" w:rsidRPr="00AF652D">
        <w:rPr>
          <w:rFonts w:ascii="Arial" w:hAnsi="Arial" w:cs="Arial"/>
          <w:sz w:val="24"/>
          <w:szCs w:val="24"/>
        </w:rPr>
        <w:t xml:space="preserve"> step</w:t>
      </w:r>
      <w:r w:rsidR="003315D4" w:rsidRPr="00AF652D">
        <w:rPr>
          <w:rFonts w:ascii="Arial" w:hAnsi="Arial" w:cs="Arial"/>
          <w:sz w:val="24"/>
          <w:szCs w:val="24"/>
        </w:rPr>
        <w:t>s</w:t>
      </w:r>
      <w:r w:rsidR="00F4216D" w:rsidRPr="00AF652D">
        <w:rPr>
          <w:rFonts w:ascii="Arial" w:hAnsi="Arial" w:cs="Arial"/>
          <w:sz w:val="24"/>
          <w:szCs w:val="24"/>
        </w:rPr>
        <w:t xml:space="preserve"> to accommodate the special disability-related needs, including ensuring flexible working hours, </w:t>
      </w:r>
      <w:r w:rsidR="00832C44" w:rsidRPr="00AF652D">
        <w:rPr>
          <w:rFonts w:ascii="Arial" w:hAnsi="Arial" w:cs="Arial"/>
          <w:sz w:val="24"/>
          <w:szCs w:val="24"/>
        </w:rPr>
        <w:t xml:space="preserve">telework, </w:t>
      </w:r>
      <w:r w:rsidR="00AE420E" w:rsidRPr="00AF652D">
        <w:rPr>
          <w:rFonts w:ascii="Arial" w:hAnsi="Arial" w:cs="Arial"/>
          <w:sz w:val="24"/>
          <w:szCs w:val="24"/>
        </w:rPr>
        <w:t>home</w:t>
      </w:r>
      <w:r w:rsidR="002A58B6" w:rsidRPr="00AF652D">
        <w:rPr>
          <w:rFonts w:ascii="Arial" w:hAnsi="Arial" w:cs="Arial"/>
          <w:sz w:val="24"/>
          <w:szCs w:val="24"/>
        </w:rPr>
        <w:t xml:space="preserve">work, </w:t>
      </w:r>
      <w:r w:rsidR="00832C44" w:rsidRPr="00AF652D">
        <w:rPr>
          <w:rFonts w:ascii="Arial" w:hAnsi="Arial" w:cs="Arial"/>
          <w:sz w:val="24"/>
          <w:szCs w:val="24"/>
        </w:rPr>
        <w:t>part-time work</w:t>
      </w:r>
      <w:r w:rsidR="002A58B6" w:rsidRPr="00AF652D">
        <w:rPr>
          <w:rFonts w:ascii="Arial" w:hAnsi="Arial" w:cs="Arial"/>
          <w:sz w:val="24"/>
          <w:szCs w:val="24"/>
        </w:rPr>
        <w:t>, unpaid/paid leave</w:t>
      </w:r>
      <w:r w:rsidR="00832C44" w:rsidRPr="00AF652D">
        <w:rPr>
          <w:rFonts w:ascii="Arial" w:hAnsi="Arial" w:cs="Arial"/>
          <w:sz w:val="24"/>
          <w:szCs w:val="24"/>
        </w:rPr>
        <w:t xml:space="preserve"> etc. </w:t>
      </w:r>
      <w:r w:rsidR="004E7080" w:rsidRPr="00AF652D">
        <w:rPr>
          <w:rFonts w:ascii="Arial" w:hAnsi="Arial" w:cs="Arial"/>
          <w:sz w:val="24"/>
          <w:szCs w:val="24"/>
        </w:rPr>
        <w:t xml:space="preserve">However, the awareness of the existence, the meaning and the actual </w:t>
      </w:r>
      <w:r w:rsidR="003D1328" w:rsidRPr="00AF652D">
        <w:rPr>
          <w:rFonts w:ascii="Arial" w:hAnsi="Arial" w:cs="Arial"/>
          <w:sz w:val="24"/>
          <w:szCs w:val="24"/>
        </w:rPr>
        <w:t>content of this provision is very low among persons with disabilities</w:t>
      </w:r>
      <w:r w:rsidR="00832C44" w:rsidRPr="00AF652D">
        <w:rPr>
          <w:rFonts w:ascii="Arial" w:hAnsi="Arial" w:cs="Arial"/>
          <w:sz w:val="24"/>
          <w:szCs w:val="24"/>
        </w:rPr>
        <w:t>,</w:t>
      </w:r>
      <w:r w:rsidR="003D1328" w:rsidRPr="00AF652D">
        <w:rPr>
          <w:rFonts w:ascii="Arial" w:hAnsi="Arial" w:cs="Arial"/>
          <w:sz w:val="24"/>
          <w:szCs w:val="24"/>
        </w:rPr>
        <w:t xml:space="preserve"> employers</w:t>
      </w:r>
      <w:r w:rsidR="00963805" w:rsidRPr="00AF652D">
        <w:rPr>
          <w:rFonts w:ascii="Arial" w:hAnsi="Arial" w:cs="Arial"/>
          <w:sz w:val="24"/>
          <w:szCs w:val="24"/>
        </w:rPr>
        <w:t>,</w:t>
      </w:r>
      <w:r w:rsidR="00A00377" w:rsidRPr="00AF652D">
        <w:rPr>
          <w:rFonts w:ascii="Arial" w:hAnsi="Arial" w:cs="Arial"/>
          <w:sz w:val="24"/>
          <w:szCs w:val="24"/>
        </w:rPr>
        <w:t xml:space="preserve"> even </w:t>
      </w:r>
      <w:r w:rsidR="00963805" w:rsidRPr="00AF652D">
        <w:rPr>
          <w:rFonts w:ascii="Arial" w:hAnsi="Arial" w:cs="Arial"/>
          <w:sz w:val="24"/>
          <w:szCs w:val="24"/>
        </w:rPr>
        <w:t>HR</w:t>
      </w:r>
      <w:r w:rsidR="00A00377" w:rsidRPr="00AF652D">
        <w:rPr>
          <w:rFonts w:ascii="Arial" w:hAnsi="Arial" w:cs="Arial"/>
          <w:sz w:val="24"/>
          <w:szCs w:val="24"/>
        </w:rPr>
        <w:t>-specialists and lawyers</w:t>
      </w:r>
      <w:r w:rsidR="003D1328" w:rsidRPr="00AF652D">
        <w:rPr>
          <w:rFonts w:ascii="Arial" w:hAnsi="Arial" w:cs="Arial"/>
          <w:sz w:val="24"/>
          <w:szCs w:val="24"/>
        </w:rPr>
        <w:t>. Thus, there is no judicial case law on this issue</w:t>
      </w:r>
      <w:r w:rsidR="00832C44" w:rsidRPr="00AF652D">
        <w:rPr>
          <w:rFonts w:ascii="Arial" w:hAnsi="Arial" w:cs="Arial"/>
          <w:sz w:val="24"/>
          <w:szCs w:val="24"/>
        </w:rPr>
        <w:t xml:space="preserve">, and the </w:t>
      </w:r>
      <w:r w:rsidR="00A00377" w:rsidRPr="00AF652D">
        <w:rPr>
          <w:rFonts w:ascii="Arial" w:hAnsi="Arial" w:cs="Arial"/>
          <w:sz w:val="24"/>
          <w:szCs w:val="24"/>
        </w:rPr>
        <w:t xml:space="preserve">degree of </w:t>
      </w:r>
      <w:r w:rsidR="00832C44" w:rsidRPr="00AF652D">
        <w:rPr>
          <w:rFonts w:ascii="Arial" w:hAnsi="Arial" w:cs="Arial"/>
          <w:sz w:val="24"/>
          <w:szCs w:val="24"/>
        </w:rPr>
        <w:t>practical implementation</w:t>
      </w:r>
      <w:r w:rsidR="00A00377" w:rsidRPr="00AF652D">
        <w:rPr>
          <w:rFonts w:ascii="Arial" w:hAnsi="Arial" w:cs="Arial"/>
          <w:sz w:val="24"/>
          <w:szCs w:val="24"/>
        </w:rPr>
        <w:t xml:space="preserve"> is very low.</w:t>
      </w:r>
    </w:p>
    <w:p w:rsidR="002A58B6" w:rsidRPr="00AF652D" w:rsidRDefault="002A58B6" w:rsidP="00AB2326">
      <w:pPr>
        <w:tabs>
          <w:tab w:val="left" w:pos="2694"/>
        </w:tabs>
        <w:spacing w:after="0" w:line="240" w:lineRule="auto"/>
        <w:rPr>
          <w:rFonts w:ascii="Arial" w:hAnsi="Arial" w:cs="Arial"/>
          <w:sz w:val="24"/>
          <w:szCs w:val="24"/>
        </w:rPr>
      </w:pPr>
    </w:p>
    <w:p w:rsidR="002A58B6" w:rsidRPr="00AF652D" w:rsidRDefault="00FB3A05"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However, the occupational medical service attesting the </w:t>
      </w:r>
      <w:r w:rsidR="00862237" w:rsidRPr="00AF652D">
        <w:rPr>
          <w:rFonts w:ascii="Arial" w:hAnsi="Arial" w:cs="Arial"/>
          <w:sz w:val="24"/>
          <w:szCs w:val="24"/>
        </w:rPr>
        <w:t xml:space="preserve">suitability of the employees for the job may prescribe specific employment </w:t>
      </w:r>
      <w:r w:rsidR="00963805" w:rsidRPr="00AF652D">
        <w:rPr>
          <w:rFonts w:ascii="Arial" w:hAnsi="Arial" w:cs="Arial"/>
          <w:sz w:val="24"/>
          <w:szCs w:val="24"/>
        </w:rPr>
        <w:t>restrictions</w:t>
      </w:r>
      <w:r w:rsidR="00862237" w:rsidRPr="00AF652D">
        <w:rPr>
          <w:rFonts w:ascii="Arial" w:hAnsi="Arial" w:cs="Arial"/>
          <w:sz w:val="24"/>
          <w:szCs w:val="24"/>
        </w:rPr>
        <w:t xml:space="preserve"> (e.g. extra pauses during </w:t>
      </w:r>
      <w:r w:rsidR="00862237" w:rsidRPr="00AF652D">
        <w:rPr>
          <w:rFonts w:ascii="Arial" w:hAnsi="Arial" w:cs="Arial"/>
          <w:sz w:val="24"/>
          <w:szCs w:val="24"/>
        </w:rPr>
        <w:lastRenderedPageBreak/>
        <w:t>the working time, part-time employment</w:t>
      </w:r>
      <w:r w:rsidR="00A22570" w:rsidRPr="00AF652D">
        <w:rPr>
          <w:rFonts w:ascii="Arial" w:hAnsi="Arial" w:cs="Arial"/>
          <w:sz w:val="24"/>
          <w:szCs w:val="24"/>
        </w:rPr>
        <w:t>, ban on posting</w:t>
      </w:r>
      <w:r w:rsidR="00862237" w:rsidRPr="00AF652D">
        <w:rPr>
          <w:rFonts w:ascii="Arial" w:hAnsi="Arial" w:cs="Arial"/>
          <w:sz w:val="24"/>
          <w:szCs w:val="24"/>
        </w:rPr>
        <w:t xml:space="preserve"> etc.).</w:t>
      </w:r>
      <w:r w:rsidR="00EE47C2" w:rsidRPr="00AF652D">
        <w:rPr>
          <w:rStyle w:val="FootnoteReference"/>
          <w:rFonts w:ascii="Arial" w:hAnsi="Arial" w:cs="Arial"/>
          <w:sz w:val="24"/>
          <w:szCs w:val="24"/>
        </w:rPr>
        <w:footnoteReference w:id="71"/>
      </w:r>
      <w:r w:rsidR="008E666D" w:rsidRPr="00AF652D">
        <w:rPr>
          <w:rFonts w:ascii="Arial" w:hAnsi="Arial" w:cs="Arial"/>
          <w:sz w:val="24"/>
          <w:szCs w:val="24"/>
        </w:rPr>
        <w:t xml:space="preserve"> </w:t>
      </w:r>
      <w:r w:rsidR="00794D8B" w:rsidRPr="00AF652D">
        <w:rPr>
          <w:rFonts w:ascii="Arial" w:hAnsi="Arial" w:cs="Arial"/>
          <w:sz w:val="24"/>
          <w:szCs w:val="24"/>
        </w:rPr>
        <w:t xml:space="preserve">Employers are required to respect these </w:t>
      </w:r>
      <w:r w:rsidR="00963805" w:rsidRPr="00AF652D">
        <w:rPr>
          <w:rFonts w:ascii="Arial" w:hAnsi="Arial" w:cs="Arial"/>
          <w:sz w:val="24"/>
          <w:szCs w:val="24"/>
        </w:rPr>
        <w:t>restrictions</w:t>
      </w:r>
      <w:r w:rsidR="00794D8B" w:rsidRPr="00AF652D">
        <w:rPr>
          <w:rFonts w:ascii="Arial" w:hAnsi="Arial" w:cs="Arial"/>
          <w:sz w:val="24"/>
          <w:szCs w:val="24"/>
        </w:rPr>
        <w:t>. This results in a kind of accommodation of some health-related working limitation</w:t>
      </w:r>
      <w:r w:rsidR="00C53791" w:rsidRPr="00AF652D">
        <w:rPr>
          <w:rFonts w:ascii="Arial" w:hAnsi="Arial" w:cs="Arial"/>
          <w:sz w:val="24"/>
          <w:szCs w:val="24"/>
        </w:rPr>
        <w:t>s of persons with disabilities, by ensuring them non-typical working conditions.</w:t>
      </w:r>
    </w:p>
    <w:p w:rsidR="002A58B6" w:rsidRPr="00AF652D" w:rsidRDefault="002A58B6" w:rsidP="00AB2326">
      <w:pPr>
        <w:tabs>
          <w:tab w:val="left" w:pos="2694"/>
        </w:tabs>
        <w:spacing w:after="0" w:line="240" w:lineRule="auto"/>
        <w:rPr>
          <w:rFonts w:ascii="Arial" w:hAnsi="Arial" w:cs="Arial"/>
          <w:sz w:val="24"/>
          <w:szCs w:val="24"/>
        </w:rPr>
      </w:pPr>
    </w:p>
    <w:p w:rsidR="00C43BEB" w:rsidRPr="00AF652D" w:rsidRDefault="00C43BEB"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Besides, there is </w:t>
      </w:r>
      <w:r w:rsidR="00855A79" w:rsidRPr="00AF652D">
        <w:rPr>
          <w:rFonts w:ascii="Arial" w:hAnsi="Arial" w:cs="Arial"/>
          <w:sz w:val="24"/>
          <w:szCs w:val="24"/>
        </w:rPr>
        <w:t xml:space="preserve">no legislation on any specific flexible working arrangement for persons with disabilities. </w:t>
      </w:r>
    </w:p>
    <w:p w:rsidR="00E974D7" w:rsidRPr="00AF652D" w:rsidRDefault="00E974D7"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Support for workplace adaptions</w:t>
      </w:r>
    </w:p>
    <w:p w:rsidR="00020C3C" w:rsidRPr="00AF652D" w:rsidRDefault="00020C3C" w:rsidP="00AB2326">
      <w:pPr>
        <w:tabs>
          <w:tab w:val="left" w:pos="2694"/>
        </w:tabs>
        <w:spacing w:after="0" w:line="240" w:lineRule="auto"/>
        <w:rPr>
          <w:rFonts w:ascii="Arial" w:hAnsi="Arial" w:cs="Arial"/>
          <w:sz w:val="24"/>
          <w:szCs w:val="24"/>
        </w:rPr>
      </w:pPr>
    </w:p>
    <w:p w:rsidR="00ED2950"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What support is available for workplace adaptions for workers with disabilities? This question relates to pillar theme 9. For example:</w:t>
      </w:r>
    </w:p>
    <w:p w:rsidR="00ED2950" w:rsidRPr="00AF652D" w:rsidRDefault="00ED2950" w:rsidP="00AB2326">
      <w:pPr>
        <w:pStyle w:val="ListParagraph"/>
        <w:numPr>
          <w:ilvl w:val="0"/>
          <w:numId w:val="8"/>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What are the eligibility conditions? What level of funding is provided and who receives it? </w:t>
      </w:r>
    </w:p>
    <w:p w:rsidR="00020C3C" w:rsidRPr="00AF652D" w:rsidRDefault="00ED2950" w:rsidP="00AB2326">
      <w:pPr>
        <w:pStyle w:val="ListParagraph"/>
        <w:numPr>
          <w:ilvl w:val="0"/>
          <w:numId w:val="8"/>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What is the employer’s responsibility or liability? Does this depend on the size of the business? </w:t>
      </w:r>
    </w:p>
    <w:p w:rsidR="00C53791" w:rsidRPr="00AF652D" w:rsidRDefault="00C53791" w:rsidP="00AB2326">
      <w:pPr>
        <w:tabs>
          <w:tab w:val="left" w:pos="2694"/>
        </w:tabs>
        <w:spacing w:after="0" w:line="240" w:lineRule="auto"/>
        <w:rPr>
          <w:rFonts w:ascii="Arial" w:hAnsi="Arial" w:cs="Arial"/>
          <w:sz w:val="24"/>
          <w:szCs w:val="24"/>
        </w:rPr>
      </w:pPr>
    </w:p>
    <w:p w:rsidR="00C53791" w:rsidRPr="00AF652D" w:rsidRDefault="00C53791"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Support for workplace adaptions is currently granted </w:t>
      </w:r>
      <w:r w:rsidR="004A668F" w:rsidRPr="00AF652D">
        <w:rPr>
          <w:rFonts w:ascii="Arial" w:hAnsi="Arial" w:cs="Arial"/>
          <w:sz w:val="24"/>
          <w:szCs w:val="24"/>
        </w:rPr>
        <w:t>exclusively for accredited employers</w:t>
      </w:r>
      <w:r w:rsidR="008E6720" w:rsidRPr="00AF652D">
        <w:rPr>
          <w:rFonts w:ascii="Arial" w:hAnsi="Arial" w:cs="Arial"/>
          <w:sz w:val="24"/>
          <w:szCs w:val="24"/>
        </w:rPr>
        <w:t xml:space="preserve"> (see below in detail)</w:t>
      </w:r>
      <w:r w:rsidR="004A668F" w:rsidRPr="00AF652D">
        <w:rPr>
          <w:rFonts w:ascii="Arial" w:hAnsi="Arial" w:cs="Arial"/>
          <w:sz w:val="24"/>
          <w:szCs w:val="24"/>
        </w:rPr>
        <w:t xml:space="preserve">. Regarding the fact that every employer is required to </w:t>
      </w:r>
      <w:r w:rsidR="00A34C7E" w:rsidRPr="00AF652D">
        <w:rPr>
          <w:rFonts w:ascii="Arial" w:hAnsi="Arial" w:cs="Arial"/>
          <w:sz w:val="24"/>
          <w:szCs w:val="24"/>
        </w:rPr>
        <w:t xml:space="preserve">meet the reasonable accommodation duty, it is a rather unfair </w:t>
      </w:r>
      <w:r w:rsidR="008305FF" w:rsidRPr="00AF652D">
        <w:rPr>
          <w:rFonts w:ascii="Arial" w:hAnsi="Arial" w:cs="Arial"/>
          <w:sz w:val="24"/>
          <w:szCs w:val="24"/>
        </w:rPr>
        <w:t>restriction of</w:t>
      </w:r>
      <w:r w:rsidR="00A34C7E" w:rsidRPr="00AF652D">
        <w:rPr>
          <w:rFonts w:ascii="Arial" w:hAnsi="Arial" w:cs="Arial"/>
          <w:sz w:val="24"/>
          <w:szCs w:val="24"/>
        </w:rPr>
        <w:t xml:space="preserve"> the eligibility criteria.</w:t>
      </w:r>
      <w:r w:rsidR="00AE420E" w:rsidRPr="00AF652D">
        <w:rPr>
          <w:rFonts w:ascii="Arial" w:hAnsi="Arial" w:cs="Arial"/>
          <w:sz w:val="24"/>
          <w:szCs w:val="24"/>
        </w:rPr>
        <w:t xml:space="preserve"> </w:t>
      </w:r>
      <w:r w:rsidR="00C34391" w:rsidRPr="00AF652D">
        <w:rPr>
          <w:rFonts w:ascii="Arial" w:hAnsi="Arial" w:cs="Arial"/>
          <w:sz w:val="24"/>
          <w:szCs w:val="24"/>
        </w:rPr>
        <w:t>So non-accredited employers are expected to carry out the necessary adjustments out of own resources.</w:t>
      </w:r>
    </w:p>
    <w:p w:rsidR="00C34391" w:rsidRPr="00AF652D" w:rsidRDefault="00C34391" w:rsidP="00AB2326">
      <w:pPr>
        <w:tabs>
          <w:tab w:val="left" w:pos="2694"/>
        </w:tabs>
        <w:spacing w:after="0" w:line="240" w:lineRule="auto"/>
        <w:rPr>
          <w:rFonts w:ascii="Arial" w:hAnsi="Arial" w:cs="Arial"/>
          <w:sz w:val="24"/>
          <w:szCs w:val="24"/>
        </w:rPr>
      </w:pPr>
    </w:p>
    <w:p w:rsidR="00C34391" w:rsidRPr="00AF652D" w:rsidRDefault="008E672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A</w:t>
      </w:r>
      <w:r w:rsidR="00C34391" w:rsidRPr="00AF652D">
        <w:rPr>
          <w:rFonts w:ascii="Arial" w:hAnsi="Arial" w:cs="Arial"/>
          <w:sz w:val="24"/>
          <w:szCs w:val="24"/>
        </w:rPr>
        <w:t>ccredited employers may claim the reimbursemen</w:t>
      </w:r>
      <w:r w:rsidR="00651680" w:rsidRPr="00AF652D">
        <w:rPr>
          <w:rFonts w:ascii="Arial" w:hAnsi="Arial" w:cs="Arial"/>
          <w:sz w:val="24"/>
          <w:szCs w:val="24"/>
        </w:rPr>
        <w:t>t</w:t>
      </w:r>
      <w:r w:rsidR="00C34391" w:rsidRPr="00AF652D">
        <w:rPr>
          <w:rFonts w:ascii="Arial" w:hAnsi="Arial" w:cs="Arial"/>
          <w:sz w:val="24"/>
          <w:szCs w:val="24"/>
        </w:rPr>
        <w:t xml:space="preserve"> of 100 % of the workplace ada</w:t>
      </w:r>
      <w:r w:rsidR="001F2A04" w:rsidRPr="00AF652D">
        <w:rPr>
          <w:rFonts w:ascii="Arial" w:hAnsi="Arial" w:cs="Arial"/>
          <w:sz w:val="24"/>
          <w:szCs w:val="24"/>
        </w:rPr>
        <w:t>p</w:t>
      </w:r>
      <w:r w:rsidR="00C34391" w:rsidRPr="00AF652D">
        <w:rPr>
          <w:rFonts w:ascii="Arial" w:hAnsi="Arial" w:cs="Arial"/>
          <w:sz w:val="24"/>
          <w:szCs w:val="24"/>
        </w:rPr>
        <w:t>tion costs.</w:t>
      </w:r>
      <w:r w:rsidRPr="00AF652D">
        <w:rPr>
          <w:rStyle w:val="FootnoteReference"/>
          <w:rFonts w:ascii="Arial" w:hAnsi="Arial" w:cs="Arial"/>
          <w:sz w:val="24"/>
          <w:szCs w:val="24"/>
        </w:rPr>
        <w:footnoteReference w:id="72"/>
      </w:r>
      <w:r w:rsidR="008E666D" w:rsidRPr="00AF652D">
        <w:rPr>
          <w:rFonts w:ascii="Arial" w:hAnsi="Arial" w:cs="Arial"/>
          <w:sz w:val="24"/>
          <w:szCs w:val="24"/>
        </w:rPr>
        <w:t xml:space="preserve"> </w:t>
      </w:r>
      <w:r w:rsidR="001F2A04" w:rsidRPr="00AF652D">
        <w:rPr>
          <w:rFonts w:ascii="Arial" w:hAnsi="Arial" w:cs="Arial"/>
          <w:sz w:val="24"/>
          <w:szCs w:val="24"/>
        </w:rPr>
        <w:t xml:space="preserve">Using of all supports for accredited employers are controlled by the </w:t>
      </w:r>
      <w:r w:rsidR="007F60C3" w:rsidRPr="00AF652D">
        <w:rPr>
          <w:rFonts w:ascii="Arial" w:hAnsi="Arial" w:cs="Arial"/>
          <w:sz w:val="24"/>
          <w:szCs w:val="24"/>
        </w:rPr>
        <w:t>government office</w:t>
      </w:r>
      <w:r w:rsidR="001F2A04" w:rsidRPr="00AF652D">
        <w:rPr>
          <w:rFonts w:ascii="Arial" w:hAnsi="Arial" w:cs="Arial"/>
          <w:sz w:val="24"/>
          <w:szCs w:val="24"/>
        </w:rPr>
        <w:t>.</w:t>
      </w:r>
      <w:r w:rsidR="002F50E9" w:rsidRPr="00AF652D">
        <w:rPr>
          <w:rStyle w:val="FootnoteReference"/>
          <w:rFonts w:ascii="Arial" w:hAnsi="Arial" w:cs="Arial"/>
          <w:sz w:val="24"/>
          <w:szCs w:val="24"/>
        </w:rPr>
        <w:footnoteReference w:id="73"/>
      </w:r>
      <w:r w:rsidR="008E666D" w:rsidRPr="00AF652D">
        <w:rPr>
          <w:rFonts w:ascii="Arial" w:hAnsi="Arial" w:cs="Arial"/>
          <w:sz w:val="24"/>
          <w:szCs w:val="24"/>
        </w:rPr>
        <w:t xml:space="preserve"> </w:t>
      </w:r>
      <w:r w:rsidR="005A18BF" w:rsidRPr="00AF652D">
        <w:rPr>
          <w:rFonts w:ascii="Arial" w:hAnsi="Arial" w:cs="Arial"/>
          <w:sz w:val="24"/>
          <w:szCs w:val="24"/>
        </w:rPr>
        <w:t>Any infringements may lead to los</w:t>
      </w:r>
      <w:r w:rsidR="00651680" w:rsidRPr="00AF652D">
        <w:rPr>
          <w:rFonts w:ascii="Arial" w:hAnsi="Arial" w:cs="Arial"/>
          <w:sz w:val="24"/>
          <w:szCs w:val="24"/>
        </w:rPr>
        <w:t>ing the accreditation status and refunding of the support.</w:t>
      </w:r>
      <w:r w:rsidR="005E746F" w:rsidRPr="00AF652D">
        <w:rPr>
          <w:rStyle w:val="FootnoteReference"/>
          <w:rFonts w:ascii="Arial" w:hAnsi="Arial" w:cs="Arial"/>
          <w:sz w:val="24"/>
          <w:szCs w:val="24"/>
        </w:rPr>
        <w:footnoteReference w:id="74"/>
      </w:r>
    </w:p>
    <w:p w:rsidR="00AB2326" w:rsidRPr="00AF652D" w:rsidRDefault="00AB2326" w:rsidP="00AB2326">
      <w:pPr>
        <w:tabs>
          <w:tab w:val="left" w:pos="2694"/>
        </w:tabs>
        <w:spacing w:after="0" w:line="240" w:lineRule="auto"/>
        <w:jc w:val="both"/>
        <w:rPr>
          <w:rFonts w:ascii="Arial" w:hAnsi="Arial" w:cs="Arial"/>
          <w:sz w:val="24"/>
          <w:szCs w:val="24"/>
        </w:rPr>
      </w:pPr>
    </w:p>
    <w:p w:rsidR="00C34391" w:rsidRPr="00AF652D" w:rsidRDefault="0065168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Supports are funded </w:t>
      </w:r>
      <w:r w:rsidR="00EA0F80" w:rsidRPr="00AF652D">
        <w:rPr>
          <w:rFonts w:ascii="Arial" w:hAnsi="Arial" w:cs="Arial"/>
          <w:sz w:val="24"/>
          <w:szCs w:val="24"/>
        </w:rPr>
        <w:t>by</w:t>
      </w:r>
      <w:r w:rsidR="00AF652D">
        <w:rPr>
          <w:rFonts w:ascii="Arial" w:hAnsi="Arial" w:cs="Arial"/>
          <w:sz w:val="24"/>
          <w:szCs w:val="24"/>
        </w:rPr>
        <w:t xml:space="preserve"> </w:t>
      </w:r>
      <w:r w:rsidR="00EA0F80" w:rsidRPr="00AF652D">
        <w:rPr>
          <w:rFonts w:ascii="Arial" w:hAnsi="Arial" w:cs="Arial"/>
          <w:sz w:val="24"/>
          <w:szCs w:val="24"/>
        </w:rPr>
        <w:t xml:space="preserve">the </w:t>
      </w:r>
      <w:r w:rsidR="004A2C30" w:rsidRPr="00AF652D">
        <w:rPr>
          <w:rFonts w:ascii="Arial" w:hAnsi="Arial" w:cs="Arial"/>
          <w:sz w:val="24"/>
          <w:szCs w:val="24"/>
        </w:rPr>
        <w:t>budget of the Ministry of Human Resources</w:t>
      </w:r>
      <w:r w:rsidR="00EA0F80" w:rsidRPr="00AF652D">
        <w:rPr>
          <w:rFonts w:ascii="Arial" w:hAnsi="Arial" w:cs="Arial"/>
          <w:sz w:val="24"/>
          <w:szCs w:val="24"/>
        </w:rPr>
        <w:t>.</w:t>
      </w:r>
      <w:r w:rsidR="004A2C30" w:rsidRPr="00AF652D">
        <w:rPr>
          <w:rStyle w:val="FootnoteReference"/>
          <w:rFonts w:ascii="Arial" w:hAnsi="Arial" w:cs="Arial"/>
          <w:sz w:val="24"/>
          <w:szCs w:val="24"/>
        </w:rPr>
        <w:footnoteReference w:id="75"/>
      </w:r>
      <w:r w:rsidR="008E666D" w:rsidRPr="00AF652D">
        <w:rPr>
          <w:rFonts w:ascii="Arial" w:hAnsi="Arial" w:cs="Arial"/>
          <w:sz w:val="24"/>
          <w:szCs w:val="24"/>
        </w:rPr>
        <w:t xml:space="preserve"> </w:t>
      </w:r>
      <w:r w:rsidR="001038A3" w:rsidRPr="00AF652D">
        <w:rPr>
          <w:rFonts w:ascii="Arial" w:hAnsi="Arial" w:cs="Arial"/>
          <w:sz w:val="24"/>
          <w:szCs w:val="24"/>
        </w:rPr>
        <w:t xml:space="preserve">It should </w:t>
      </w:r>
      <w:r w:rsidR="004A2C30" w:rsidRPr="00AF652D">
        <w:rPr>
          <w:rFonts w:ascii="Arial" w:hAnsi="Arial" w:cs="Arial"/>
          <w:sz w:val="24"/>
          <w:szCs w:val="24"/>
        </w:rPr>
        <w:t xml:space="preserve">be noted that </w:t>
      </w:r>
      <w:r w:rsidR="002C33B2" w:rsidRPr="00AF652D">
        <w:rPr>
          <w:rFonts w:ascii="Arial" w:hAnsi="Arial" w:cs="Arial"/>
          <w:sz w:val="24"/>
          <w:szCs w:val="24"/>
        </w:rPr>
        <w:t xml:space="preserve">the </w:t>
      </w:r>
      <w:r w:rsidR="00FF7920" w:rsidRPr="00AF652D">
        <w:rPr>
          <w:rFonts w:ascii="Arial" w:hAnsi="Arial" w:cs="Arial"/>
          <w:sz w:val="24"/>
          <w:szCs w:val="24"/>
        </w:rPr>
        <w:t xml:space="preserve">central budget receives the </w:t>
      </w:r>
      <w:r w:rsidR="004A2C30" w:rsidRPr="00AF652D">
        <w:rPr>
          <w:rFonts w:ascii="Arial" w:hAnsi="Arial" w:cs="Arial"/>
          <w:sz w:val="24"/>
          <w:szCs w:val="24"/>
        </w:rPr>
        <w:t>le</w:t>
      </w:r>
      <w:r w:rsidR="00FF7920" w:rsidRPr="00AF652D">
        <w:rPr>
          <w:rFonts w:ascii="Arial" w:hAnsi="Arial" w:cs="Arial"/>
          <w:sz w:val="24"/>
          <w:szCs w:val="24"/>
        </w:rPr>
        <w:t>vies</w:t>
      </w:r>
      <w:r w:rsidR="00AF652D">
        <w:rPr>
          <w:rFonts w:ascii="Arial" w:hAnsi="Arial" w:cs="Arial"/>
          <w:sz w:val="24"/>
          <w:szCs w:val="24"/>
        </w:rPr>
        <w:t xml:space="preserve"> </w:t>
      </w:r>
      <w:r w:rsidR="009507AD" w:rsidRPr="00AF652D">
        <w:rPr>
          <w:rFonts w:ascii="Arial" w:hAnsi="Arial" w:cs="Arial"/>
          <w:sz w:val="24"/>
          <w:szCs w:val="24"/>
        </w:rPr>
        <w:t>payable</w:t>
      </w:r>
      <w:r w:rsidR="004A2C30" w:rsidRPr="00AF652D">
        <w:rPr>
          <w:rFonts w:ascii="Arial" w:hAnsi="Arial" w:cs="Arial"/>
          <w:sz w:val="24"/>
          <w:szCs w:val="24"/>
        </w:rPr>
        <w:t xml:space="preserve"> by employers not complying with the quota duty (see above)</w:t>
      </w:r>
      <w:r w:rsidR="00FF7920" w:rsidRPr="00AF652D">
        <w:rPr>
          <w:rFonts w:ascii="Arial" w:hAnsi="Arial" w:cs="Arial"/>
          <w:sz w:val="24"/>
          <w:szCs w:val="24"/>
        </w:rPr>
        <w:t>.</w:t>
      </w:r>
      <w:r w:rsidR="00FF7920" w:rsidRPr="00AF652D">
        <w:rPr>
          <w:rStyle w:val="FootnoteReference"/>
          <w:rFonts w:ascii="Arial" w:hAnsi="Arial" w:cs="Arial"/>
          <w:sz w:val="24"/>
          <w:szCs w:val="24"/>
        </w:rPr>
        <w:footnoteReference w:id="76"/>
      </w:r>
      <w:r w:rsidR="00FF7920" w:rsidRPr="00AF652D">
        <w:rPr>
          <w:rFonts w:ascii="Arial" w:hAnsi="Arial" w:cs="Arial"/>
          <w:sz w:val="24"/>
          <w:szCs w:val="24"/>
        </w:rPr>
        <w:t xml:space="preserve"> So there is no separate public fund for </w:t>
      </w:r>
      <w:r w:rsidR="00460C84" w:rsidRPr="00AF652D">
        <w:rPr>
          <w:rFonts w:ascii="Arial" w:hAnsi="Arial" w:cs="Arial"/>
          <w:sz w:val="24"/>
          <w:szCs w:val="24"/>
        </w:rPr>
        <w:t>subsidies and investments in the field of supporting the employment of persons with disabilities or reduced working ability.</w:t>
      </w:r>
    </w:p>
    <w:p w:rsidR="00CE251C" w:rsidRPr="00AF652D" w:rsidRDefault="00CE251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Evidence on non-standard wages</w:t>
      </w:r>
    </w:p>
    <w:p w:rsidR="00020C3C" w:rsidRPr="00AF652D" w:rsidRDefault="00020C3C" w:rsidP="00AB2326">
      <w:pPr>
        <w:tabs>
          <w:tab w:val="left" w:pos="2694"/>
        </w:tabs>
        <w:spacing w:after="0" w:line="240" w:lineRule="auto"/>
        <w:rPr>
          <w:rFonts w:ascii="Arial" w:hAnsi="Arial" w:cs="Arial"/>
          <w:sz w:val="24"/>
          <w:szCs w:val="24"/>
        </w:rPr>
      </w:pPr>
    </w:p>
    <w:p w:rsidR="00FA7D4D" w:rsidRPr="00AF652D" w:rsidRDefault="00FA7D4D" w:rsidP="00AB2326">
      <w:pPr>
        <w:tabs>
          <w:tab w:val="left" w:pos="2694"/>
        </w:tabs>
        <w:spacing w:after="0" w:line="240" w:lineRule="auto"/>
        <w:rPr>
          <w:rFonts w:ascii="Arial" w:hAnsi="Arial" w:cs="Arial"/>
          <w:i/>
          <w:sz w:val="24"/>
          <w:szCs w:val="24"/>
        </w:rPr>
      </w:pPr>
      <w:r w:rsidRPr="00AF652D">
        <w:rPr>
          <w:rFonts w:ascii="Arial" w:hAnsi="Arial" w:cs="Arial"/>
          <w:i/>
          <w:sz w:val="24"/>
          <w:szCs w:val="24"/>
        </w:rPr>
        <w:t>How are wages set for workers with disabilities outside the open labour market? This question relates to pillar theme 8. For example:</w:t>
      </w:r>
    </w:p>
    <w:p w:rsidR="00FA7D4D" w:rsidRPr="00AF652D" w:rsidRDefault="00FA7D4D" w:rsidP="00AB2326">
      <w:pPr>
        <w:pStyle w:val="ListParagraph"/>
        <w:numPr>
          <w:ilvl w:val="0"/>
          <w:numId w:val="7"/>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What provisions regulate the wages of people with disabilities employed in sheltered workshops or forms of adapted employment (alternative / segregated / supported …)?</w:t>
      </w:r>
    </w:p>
    <w:p w:rsidR="00FA7D4D" w:rsidRPr="00AF652D" w:rsidRDefault="00FA7D4D" w:rsidP="00AB2326">
      <w:pPr>
        <w:pStyle w:val="ListParagraph"/>
        <w:numPr>
          <w:ilvl w:val="0"/>
          <w:numId w:val="7"/>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Are there groups of workers who do not receive the minimum wage? </w:t>
      </w:r>
    </w:p>
    <w:p w:rsidR="00D374DC" w:rsidRPr="00AF652D" w:rsidRDefault="000A7794"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A binding wage scheme is attached to the PWS.</w:t>
      </w:r>
      <w:r w:rsidR="001C3673" w:rsidRPr="00AF652D">
        <w:rPr>
          <w:rStyle w:val="FootnoteReference"/>
          <w:rFonts w:ascii="Arial" w:hAnsi="Arial" w:cs="Arial"/>
          <w:sz w:val="24"/>
          <w:szCs w:val="24"/>
        </w:rPr>
        <w:footnoteReference w:id="77"/>
      </w:r>
      <w:r w:rsidR="008E666D" w:rsidRPr="00AF652D">
        <w:rPr>
          <w:rFonts w:ascii="Arial" w:hAnsi="Arial" w:cs="Arial"/>
          <w:sz w:val="24"/>
          <w:szCs w:val="24"/>
        </w:rPr>
        <w:t xml:space="preserve"> </w:t>
      </w:r>
      <w:r w:rsidR="001C3673" w:rsidRPr="00AF652D">
        <w:rPr>
          <w:rFonts w:ascii="Arial" w:hAnsi="Arial" w:cs="Arial"/>
          <w:sz w:val="24"/>
          <w:szCs w:val="24"/>
        </w:rPr>
        <w:t xml:space="preserve">In </w:t>
      </w:r>
      <w:r w:rsidR="00432585" w:rsidRPr="00AF652D">
        <w:rPr>
          <w:rFonts w:ascii="Arial" w:hAnsi="Arial" w:cs="Arial"/>
          <w:sz w:val="24"/>
          <w:szCs w:val="24"/>
        </w:rPr>
        <w:t xml:space="preserve">Table </w:t>
      </w:r>
      <w:r w:rsidR="00DF1F04" w:rsidRPr="00AF652D">
        <w:rPr>
          <w:rFonts w:ascii="Arial" w:hAnsi="Arial" w:cs="Arial"/>
          <w:sz w:val="24"/>
          <w:szCs w:val="24"/>
        </w:rPr>
        <w:t>5</w:t>
      </w:r>
      <w:r w:rsidR="00432585" w:rsidRPr="00AF652D">
        <w:rPr>
          <w:rFonts w:ascii="Arial" w:hAnsi="Arial" w:cs="Arial"/>
          <w:sz w:val="24"/>
          <w:szCs w:val="24"/>
        </w:rPr>
        <w:t xml:space="preserve"> the </w:t>
      </w:r>
      <w:r w:rsidR="0072499D" w:rsidRPr="00AF652D">
        <w:rPr>
          <w:rFonts w:ascii="Arial" w:hAnsi="Arial" w:cs="Arial"/>
          <w:sz w:val="24"/>
          <w:szCs w:val="24"/>
        </w:rPr>
        <w:t xml:space="preserve">current </w:t>
      </w:r>
      <w:r w:rsidR="00432585" w:rsidRPr="00AF652D">
        <w:rPr>
          <w:rFonts w:ascii="Arial" w:hAnsi="Arial" w:cs="Arial"/>
          <w:sz w:val="24"/>
          <w:szCs w:val="24"/>
        </w:rPr>
        <w:t>minimum wage</w:t>
      </w:r>
      <w:r w:rsidR="00CC360B" w:rsidRPr="00AF652D">
        <w:rPr>
          <w:rFonts w:ascii="Arial" w:hAnsi="Arial" w:cs="Arial"/>
          <w:sz w:val="24"/>
          <w:szCs w:val="24"/>
        </w:rPr>
        <w:t xml:space="preserve">s in the PWS and in open </w:t>
      </w:r>
      <w:r w:rsidR="001C3673" w:rsidRPr="00AF652D">
        <w:rPr>
          <w:rFonts w:ascii="Arial" w:hAnsi="Arial" w:cs="Arial"/>
          <w:sz w:val="24"/>
          <w:szCs w:val="24"/>
        </w:rPr>
        <w:t>labour market employment are compared.</w:t>
      </w:r>
    </w:p>
    <w:p w:rsidR="0085281C" w:rsidRPr="00AF652D" w:rsidRDefault="0085281C" w:rsidP="00AB2326">
      <w:pPr>
        <w:tabs>
          <w:tab w:val="left" w:pos="2694"/>
        </w:tabs>
        <w:spacing w:after="0" w:line="240" w:lineRule="auto"/>
        <w:rPr>
          <w:rFonts w:ascii="Arial" w:hAnsi="Arial" w:cs="Arial"/>
          <w:sz w:val="24"/>
          <w:szCs w:val="24"/>
        </w:rPr>
      </w:pPr>
    </w:p>
    <w:p w:rsidR="00CC360B" w:rsidRPr="00AF652D" w:rsidRDefault="00CC360B"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u w:val="single"/>
        </w:rPr>
        <w:t xml:space="preserve">Table </w:t>
      </w:r>
      <w:r w:rsidR="00DF1F04" w:rsidRPr="00AF652D">
        <w:rPr>
          <w:rFonts w:ascii="Arial" w:hAnsi="Arial" w:cs="Arial"/>
          <w:sz w:val="24"/>
          <w:szCs w:val="24"/>
          <w:u w:val="single"/>
        </w:rPr>
        <w:t>5</w:t>
      </w:r>
      <w:r w:rsidRPr="00AF652D">
        <w:rPr>
          <w:rFonts w:ascii="Arial" w:hAnsi="Arial" w:cs="Arial"/>
          <w:sz w:val="24"/>
          <w:szCs w:val="24"/>
          <w:u w:val="single"/>
        </w:rPr>
        <w:t>:</w:t>
      </w:r>
      <w:r w:rsidRPr="00AF652D">
        <w:rPr>
          <w:rFonts w:ascii="Arial" w:hAnsi="Arial" w:cs="Arial"/>
          <w:sz w:val="24"/>
          <w:szCs w:val="24"/>
        </w:rPr>
        <w:t xml:space="preserve"> Comparison of minimum wages in PWS and in </w:t>
      </w:r>
      <w:r w:rsidR="001C3673" w:rsidRPr="00AF652D">
        <w:rPr>
          <w:rFonts w:ascii="Arial" w:hAnsi="Arial" w:cs="Arial"/>
          <w:sz w:val="24"/>
          <w:szCs w:val="24"/>
        </w:rPr>
        <w:t xml:space="preserve">open labour market </w:t>
      </w:r>
      <w:r w:rsidRPr="00AF652D">
        <w:rPr>
          <w:rFonts w:ascii="Arial" w:hAnsi="Arial" w:cs="Arial"/>
          <w:sz w:val="24"/>
          <w:szCs w:val="24"/>
        </w:rPr>
        <w:t>employment</w:t>
      </w:r>
      <w:r w:rsidR="00AA6EC8" w:rsidRPr="00AF652D">
        <w:rPr>
          <w:rFonts w:ascii="Arial" w:hAnsi="Arial" w:cs="Arial"/>
          <w:sz w:val="24"/>
          <w:szCs w:val="24"/>
        </w:rPr>
        <w:t xml:space="preserve"> in 2017</w:t>
      </w:r>
      <w:r w:rsidR="001C3673" w:rsidRPr="00AF652D">
        <w:rPr>
          <w:rStyle w:val="FootnoteReference"/>
          <w:rFonts w:ascii="Arial" w:hAnsi="Arial" w:cs="Arial"/>
          <w:sz w:val="24"/>
          <w:szCs w:val="24"/>
        </w:rPr>
        <w:footnoteReference w:id="78"/>
      </w:r>
    </w:p>
    <w:p w:rsidR="00D374DC" w:rsidRPr="00AF652D" w:rsidRDefault="00D374DC" w:rsidP="00AB2326">
      <w:pPr>
        <w:tabs>
          <w:tab w:val="left" w:pos="2694"/>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83"/>
        <w:gridCol w:w="3180"/>
      </w:tblGrid>
      <w:tr w:rsidR="00AD73E9" w:rsidRPr="00AF652D" w:rsidTr="00CE6674">
        <w:tc>
          <w:tcPr>
            <w:tcW w:w="4583" w:type="dxa"/>
          </w:tcPr>
          <w:p w:rsidR="00AD73E9" w:rsidRPr="00AF652D" w:rsidRDefault="00AD73E9" w:rsidP="00AB2326">
            <w:pPr>
              <w:tabs>
                <w:tab w:val="left" w:pos="2694"/>
              </w:tabs>
              <w:spacing w:line="240" w:lineRule="auto"/>
              <w:rPr>
                <w:rFonts w:ascii="Arial" w:hAnsi="Arial" w:cs="Arial"/>
                <w:sz w:val="24"/>
                <w:szCs w:val="24"/>
              </w:rPr>
            </w:pPr>
          </w:p>
        </w:tc>
        <w:tc>
          <w:tcPr>
            <w:tcW w:w="3180" w:type="dxa"/>
          </w:tcPr>
          <w:p w:rsidR="00AD73E9" w:rsidRPr="00AF652D" w:rsidRDefault="007F0F0F"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Gross m</w:t>
            </w:r>
            <w:r w:rsidR="00AD73E9" w:rsidRPr="00AF652D">
              <w:rPr>
                <w:rFonts w:ascii="Arial" w:hAnsi="Arial" w:cs="Arial"/>
                <w:sz w:val="24"/>
                <w:szCs w:val="24"/>
              </w:rPr>
              <w:t>onthly wage (HUF)</w:t>
            </w:r>
          </w:p>
        </w:tc>
      </w:tr>
      <w:tr w:rsidR="00AD73E9" w:rsidRPr="00AF652D" w:rsidTr="00CE6674">
        <w:tc>
          <w:tcPr>
            <w:tcW w:w="4583" w:type="dxa"/>
          </w:tcPr>
          <w:p w:rsidR="00AD73E9" w:rsidRPr="00AF652D" w:rsidRDefault="00AD73E9" w:rsidP="00AB2326">
            <w:pPr>
              <w:tabs>
                <w:tab w:val="left" w:pos="2694"/>
              </w:tabs>
              <w:spacing w:line="240" w:lineRule="auto"/>
              <w:rPr>
                <w:rFonts w:ascii="Arial" w:hAnsi="Arial" w:cs="Arial"/>
                <w:sz w:val="24"/>
                <w:szCs w:val="24"/>
              </w:rPr>
            </w:pPr>
            <w:r w:rsidRPr="00AF652D">
              <w:rPr>
                <w:rFonts w:ascii="Arial" w:hAnsi="Arial" w:cs="Arial"/>
                <w:sz w:val="24"/>
                <w:szCs w:val="24"/>
              </w:rPr>
              <w:t>General minimum wage</w:t>
            </w:r>
          </w:p>
        </w:tc>
        <w:tc>
          <w:tcPr>
            <w:tcW w:w="3180" w:type="dxa"/>
          </w:tcPr>
          <w:p w:rsidR="00AD73E9" w:rsidRPr="00AF652D" w:rsidRDefault="0003529D"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127.500</w:t>
            </w:r>
          </w:p>
        </w:tc>
      </w:tr>
      <w:tr w:rsidR="00AD73E9" w:rsidRPr="00AF652D" w:rsidTr="00CE6674">
        <w:tc>
          <w:tcPr>
            <w:tcW w:w="4583" w:type="dxa"/>
          </w:tcPr>
          <w:p w:rsidR="00AD73E9" w:rsidRPr="00AF652D" w:rsidRDefault="00AD73E9" w:rsidP="00AB2326">
            <w:pPr>
              <w:tabs>
                <w:tab w:val="left" w:pos="2694"/>
              </w:tabs>
              <w:spacing w:line="240" w:lineRule="auto"/>
              <w:rPr>
                <w:rFonts w:ascii="Arial" w:hAnsi="Arial" w:cs="Arial"/>
                <w:sz w:val="24"/>
                <w:szCs w:val="24"/>
              </w:rPr>
            </w:pPr>
            <w:r w:rsidRPr="00AF652D">
              <w:rPr>
                <w:rFonts w:ascii="Arial" w:hAnsi="Arial" w:cs="Arial"/>
                <w:sz w:val="24"/>
                <w:szCs w:val="24"/>
              </w:rPr>
              <w:t>General guaranteed minimum wage</w:t>
            </w:r>
            <w:r w:rsidRPr="00AF652D">
              <w:rPr>
                <w:rStyle w:val="FootnoteReference"/>
                <w:rFonts w:ascii="Arial" w:hAnsi="Arial" w:cs="Arial"/>
                <w:sz w:val="24"/>
                <w:szCs w:val="24"/>
              </w:rPr>
              <w:footnoteReference w:id="79"/>
            </w:r>
          </w:p>
        </w:tc>
        <w:tc>
          <w:tcPr>
            <w:tcW w:w="3180" w:type="dxa"/>
          </w:tcPr>
          <w:p w:rsidR="00AD73E9" w:rsidRPr="00AF652D" w:rsidRDefault="0003529D"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161.000</w:t>
            </w:r>
          </w:p>
        </w:tc>
      </w:tr>
      <w:tr w:rsidR="00AD73E9" w:rsidRPr="00AF652D" w:rsidTr="00CE6674">
        <w:tc>
          <w:tcPr>
            <w:tcW w:w="4583" w:type="dxa"/>
          </w:tcPr>
          <w:p w:rsidR="00AD73E9" w:rsidRPr="00AF652D" w:rsidRDefault="00355476" w:rsidP="00AB2326">
            <w:pPr>
              <w:tabs>
                <w:tab w:val="left" w:pos="2694"/>
              </w:tabs>
              <w:spacing w:line="240" w:lineRule="auto"/>
              <w:rPr>
                <w:rFonts w:ascii="Arial" w:hAnsi="Arial" w:cs="Arial"/>
                <w:sz w:val="24"/>
                <w:szCs w:val="24"/>
              </w:rPr>
            </w:pPr>
            <w:r w:rsidRPr="00AF652D">
              <w:rPr>
                <w:rFonts w:ascii="Arial" w:hAnsi="Arial" w:cs="Arial"/>
                <w:sz w:val="24"/>
                <w:szCs w:val="24"/>
              </w:rPr>
              <w:t>Minimum wage in PWS</w:t>
            </w:r>
          </w:p>
        </w:tc>
        <w:tc>
          <w:tcPr>
            <w:tcW w:w="3180" w:type="dxa"/>
          </w:tcPr>
          <w:p w:rsidR="00AD73E9" w:rsidRPr="00AF652D" w:rsidRDefault="0003529D"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81.</w:t>
            </w:r>
            <w:r w:rsidR="00CE6674" w:rsidRPr="00AF652D">
              <w:rPr>
                <w:rFonts w:ascii="Arial" w:hAnsi="Arial" w:cs="Arial"/>
                <w:sz w:val="24"/>
                <w:szCs w:val="24"/>
              </w:rPr>
              <w:t>530</w:t>
            </w:r>
          </w:p>
        </w:tc>
      </w:tr>
      <w:tr w:rsidR="00AD73E9" w:rsidRPr="00AF652D" w:rsidTr="00CE6674">
        <w:tc>
          <w:tcPr>
            <w:tcW w:w="4583" w:type="dxa"/>
          </w:tcPr>
          <w:p w:rsidR="00AD73E9" w:rsidRPr="00AF652D" w:rsidRDefault="00355476" w:rsidP="00AB2326">
            <w:pPr>
              <w:tabs>
                <w:tab w:val="left" w:pos="2694"/>
              </w:tabs>
              <w:spacing w:line="240" w:lineRule="auto"/>
              <w:rPr>
                <w:rFonts w:ascii="Arial" w:hAnsi="Arial" w:cs="Arial"/>
                <w:sz w:val="24"/>
                <w:szCs w:val="24"/>
              </w:rPr>
            </w:pPr>
            <w:r w:rsidRPr="00AF652D">
              <w:rPr>
                <w:rFonts w:ascii="Arial" w:hAnsi="Arial" w:cs="Arial"/>
                <w:sz w:val="24"/>
                <w:szCs w:val="24"/>
              </w:rPr>
              <w:t>Guaranteed minimum wage in PWS</w:t>
            </w:r>
            <w:r w:rsidR="0003529D" w:rsidRPr="00AF652D">
              <w:rPr>
                <w:rStyle w:val="FootnoteReference"/>
                <w:rFonts w:ascii="Arial" w:hAnsi="Arial" w:cs="Arial"/>
                <w:sz w:val="24"/>
                <w:szCs w:val="24"/>
              </w:rPr>
              <w:footnoteReference w:id="80"/>
            </w:r>
          </w:p>
        </w:tc>
        <w:tc>
          <w:tcPr>
            <w:tcW w:w="3180" w:type="dxa"/>
          </w:tcPr>
          <w:p w:rsidR="00AD73E9" w:rsidRPr="00AF652D" w:rsidRDefault="00CE6674"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106.555</w:t>
            </w:r>
          </w:p>
        </w:tc>
      </w:tr>
      <w:tr w:rsidR="00AD73E9" w:rsidRPr="00AF652D" w:rsidTr="00CE6674">
        <w:tc>
          <w:tcPr>
            <w:tcW w:w="4583" w:type="dxa"/>
          </w:tcPr>
          <w:p w:rsidR="00AD73E9" w:rsidRPr="00AF652D" w:rsidRDefault="00355476" w:rsidP="00AB2326">
            <w:pPr>
              <w:tabs>
                <w:tab w:val="left" w:pos="2694"/>
              </w:tabs>
              <w:spacing w:line="240" w:lineRule="auto"/>
              <w:rPr>
                <w:rFonts w:ascii="Arial" w:hAnsi="Arial" w:cs="Arial"/>
                <w:sz w:val="24"/>
                <w:szCs w:val="24"/>
              </w:rPr>
            </w:pPr>
            <w:r w:rsidRPr="00AF652D">
              <w:rPr>
                <w:rFonts w:ascii="Arial" w:hAnsi="Arial" w:cs="Arial"/>
                <w:sz w:val="24"/>
                <w:szCs w:val="24"/>
              </w:rPr>
              <w:t>Minimum wage in PWS for managers</w:t>
            </w:r>
          </w:p>
        </w:tc>
        <w:tc>
          <w:tcPr>
            <w:tcW w:w="3180" w:type="dxa"/>
          </w:tcPr>
          <w:p w:rsidR="00AD73E9" w:rsidRPr="00AF652D" w:rsidRDefault="00CE6674"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89.705</w:t>
            </w:r>
          </w:p>
        </w:tc>
      </w:tr>
      <w:tr w:rsidR="00AD73E9" w:rsidRPr="00AF652D" w:rsidTr="00CE6674">
        <w:tc>
          <w:tcPr>
            <w:tcW w:w="4583" w:type="dxa"/>
          </w:tcPr>
          <w:p w:rsidR="00AD73E9" w:rsidRPr="00AF652D" w:rsidRDefault="00355476" w:rsidP="00AB2326">
            <w:pPr>
              <w:tabs>
                <w:tab w:val="left" w:pos="2694"/>
              </w:tabs>
              <w:spacing w:line="240" w:lineRule="auto"/>
              <w:rPr>
                <w:rFonts w:ascii="Arial" w:hAnsi="Arial" w:cs="Arial"/>
                <w:sz w:val="24"/>
                <w:szCs w:val="24"/>
              </w:rPr>
            </w:pPr>
            <w:r w:rsidRPr="00AF652D">
              <w:rPr>
                <w:rFonts w:ascii="Arial" w:hAnsi="Arial" w:cs="Arial"/>
                <w:sz w:val="24"/>
                <w:szCs w:val="24"/>
              </w:rPr>
              <w:t>Guaranteed minimum wage in PWS for managers</w:t>
            </w:r>
          </w:p>
        </w:tc>
        <w:tc>
          <w:tcPr>
            <w:tcW w:w="3180" w:type="dxa"/>
          </w:tcPr>
          <w:p w:rsidR="00AD73E9" w:rsidRPr="00AF652D" w:rsidRDefault="00CE6674" w:rsidP="00AB2326">
            <w:pPr>
              <w:tabs>
                <w:tab w:val="left" w:pos="2694"/>
              </w:tabs>
              <w:spacing w:line="240" w:lineRule="auto"/>
              <w:jc w:val="center"/>
              <w:rPr>
                <w:rFonts w:ascii="Arial" w:hAnsi="Arial" w:cs="Arial"/>
                <w:sz w:val="24"/>
                <w:szCs w:val="24"/>
              </w:rPr>
            </w:pPr>
            <w:r w:rsidRPr="00AF652D">
              <w:rPr>
                <w:rFonts w:ascii="Arial" w:hAnsi="Arial" w:cs="Arial"/>
                <w:sz w:val="24"/>
                <w:szCs w:val="24"/>
              </w:rPr>
              <w:t>117.245</w:t>
            </w:r>
          </w:p>
        </w:tc>
      </w:tr>
    </w:tbl>
    <w:p w:rsidR="00CC360B" w:rsidRPr="00AF652D" w:rsidRDefault="00CC360B" w:rsidP="00AB2326">
      <w:pPr>
        <w:tabs>
          <w:tab w:val="left" w:pos="2694"/>
        </w:tabs>
        <w:spacing w:after="0" w:line="240" w:lineRule="auto"/>
        <w:rPr>
          <w:rFonts w:ascii="Arial" w:hAnsi="Arial" w:cs="Arial"/>
          <w:sz w:val="24"/>
          <w:szCs w:val="24"/>
        </w:rPr>
      </w:pPr>
    </w:p>
    <w:p w:rsidR="00CE6674" w:rsidRPr="00AF652D" w:rsidRDefault="006604FE"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In Hungary</w:t>
      </w:r>
      <w:r w:rsidR="00AE420E" w:rsidRPr="00AF652D">
        <w:rPr>
          <w:rFonts w:ascii="Arial" w:hAnsi="Arial" w:cs="Arial"/>
          <w:sz w:val="24"/>
          <w:szCs w:val="24"/>
        </w:rPr>
        <w:t>,</w:t>
      </w:r>
      <w:r w:rsidRPr="00AF652D">
        <w:rPr>
          <w:rFonts w:ascii="Arial" w:hAnsi="Arial" w:cs="Arial"/>
          <w:sz w:val="24"/>
          <w:szCs w:val="24"/>
        </w:rPr>
        <w:t xml:space="preserve"> the net sum of the general minimum wage has been lower than the poverty line in every year since</w:t>
      </w:r>
      <w:r w:rsidR="009718F6" w:rsidRPr="00AF652D">
        <w:rPr>
          <w:rFonts w:ascii="Arial" w:hAnsi="Arial" w:cs="Arial"/>
          <w:sz w:val="24"/>
          <w:szCs w:val="24"/>
        </w:rPr>
        <w:t xml:space="preserve"> 1992.</w:t>
      </w:r>
      <w:r w:rsidR="009718F6" w:rsidRPr="00AF652D">
        <w:rPr>
          <w:rStyle w:val="FootnoteReference"/>
          <w:rFonts w:ascii="Arial" w:hAnsi="Arial" w:cs="Arial"/>
          <w:sz w:val="24"/>
          <w:szCs w:val="24"/>
        </w:rPr>
        <w:footnoteReference w:id="81"/>
      </w:r>
      <w:r w:rsidR="00C573E8" w:rsidRPr="00AF652D">
        <w:rPr>
          <w:rFonts w:ascii="Arial" w:hAnsi="Arial" w:cs="Arial"/>
          <w:sz w:val="24"/>
          <w:szCs w:val="24"/>
        </w:rPr>
        <w:t xml:space="preserve"> So </w:t>
      </w:r>
      <w:r w:rsidR="00AA6EC8" w:rsidRPr="00AF652D">
        <w:rPr>
          <w:rFonts w:ascii="Arial" w:hAnsi="Arial" w:cs="Arial"/>
          <w:sz w:val="24"/>
          <w:szCs w:val="24"/>
        </w:rPr>
        <w:t xml:space="preserve">minimum wage in PWS </w:t>
      </w:r>
      <w:r w:rsidR="0072499D" w:rsidRPr="00AF652D">
        <w:rPr>
          <w:rFonts w:ascii="Arial" w:hAnsi="Arial" w:cs="Arial"/>
          <w:sz w:val="24"/>
          <w:szCs w:val="24"/>
        </w:rPr>
        <w:t xml:space="preserve">cannot </w:t>
      </w:r>
      <w:r w:rsidR="007928D2" w:rsidRPr="00AF652D">
        <w:rPr>
          <w:rFonts w:ascii="Arial" w:hAnsi="Arial" w:cs="Arial"/>
          <w:sz w:val="24"/>
          <w:szCs w:val="24"/>
        </w:rPr>
        <w:t xml:space="preserve">cover the expenses of an individual or a family. </w:t>
      </w:r>
    </w:p>
    <w:p w:rsidR="007928D2" w:rsidRPr="00AF652D" w:rsidRDefault="007928D2" w:rsidP="00AB2326">
      <w:pPr>
        <w:tabs>
          <w:tab w:val="left" w:pos="2694"/>
        </w:tabs>
        <w:spacing w:after="0" w:line="240" w:lineRule="auto"/>
        <w:rPr>
          <w:rFonts w:ascii="Arial" w:hAnsi="Arial" w:cs="Arial"/>
          <w:sz w:val="24"/>
          <w:szCs w:val="24"/>
        </w:rPr>
      </w:pPr>
    </w:p>
    <w:p w:rsidR="007928D2" w:rsidRPr="00AF652D" w:rsidRDefault="007928D2"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In other programmes described under section 2.1. the general minimum wage</w:t>
      </w:r>
      <w:r w:rsidR="002102EA" w:rsidRPr="00AF652D">
        <w:rPr>
          <w:rFonts w:ascii="Arial" w:hAnsi="Arial" w:cs="Arial"/>
          <w:sz w:val="24"/>
          <w:szCs w:val="24"/>
        </w:rPr>
        <w:t xml:space="preserve"> and guaranteed minimum wage is applied. </w:t>
      </w:r>
    </w:p>
    <w:p w:rsidR="00CC360B" w:rsidRPr="00AF652D" w:rsidRDefault="00CC360B"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 xml:space="preserve">Employment conditions in sheltered workshops </w:t>
      </w:r>
    </w:p>
    <w:p w:rsidR="00020C3C" w:rsidRPr="00AF652D" w:rsidRDefault="00020C3C" w:rsidP="00AB2326">
      <w:pPr>
        <w:tabs>
          <w:tab w:val="left" w:pos="2694"/>
        </w:tabs>
        <w:spacing w:after="0" w:line="240" w:lineRule="auto"/>
        <w:rPr>
          <w:rFonts w:ascii="Arial" w:hAnsi="Arial" w:cs="Arial"/>
          <w:sz w:val="24"/>
          <w:szCs w:val="24"/>
        </w:rPr>
      </w:pPr>
    </w:p>
    <w:p w:rsidR="00ED2950"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 xml:space="preserve">What conditions of employment exist for workers in sheltered workshops and how are these regulated? This question relates to pillar theme 7. For example: </w:t>
      </w:r>
    </w:p>
    <w:p w:rsidR="00ED2950" w:rsidRPr="00AF652D" w:rsidRDefault="00ED2950" w:rsidP="00AB2326">
      <w:pPr>
        <w:pStyle w:val="ListParagraph"/>
        <w:numPr>
          <w:ilvl w:val="0"/>
          <w:numId w:val="10"/>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Describe the system of sheltered workshops generally: do sheltered workshops exist? Who is eligible to be employed in such workshops? Please indicate if there are different kinds of workshops and eligibility conditions.</w:t>
      </w:r>
    </w:p>
    <w:p w:rsidR="00ED2950" w:rsidRPr="00AF652D" w:rsidRDefault="00ED2950" w:rsidP="00AB2326">
      <w:pPr>
        <w:pStyle w:val="ListParagraph"/>
        <w:numPr>
          <w:ilvl w:val="0"/>
          <w:numId w:val="10"/>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Does standard labour law apply to those employed in sheltered workshops? If not, what justification is given for differences in treatment? Including:</w:t>
      </w:r>
    </w:p>
    <w:p w:rsidR="00ED2950" w:rsidRPr="00AF652D" w:rsidRDefault="00ED2950" w:rsidP="00AB2326">
      <w:pPr>
        <w:pStyle w:val="ListParagraph"/>
        <w:numPr>
          <w:ilvl w:val="0"/>
          <w:numId w:val="9"/>
        </w:numPr>
        <w:tabs>
          <w:tab w:val="left" w:pos="2694"/>
        </w:tabs>
        <w:spacing w:after="0" w:line="240" w:lineRule="auto"/>
        <w:ind w:left="851" w:hanging="284"/>
        <w:rPr>
          <w:rFonts w:ascii="Arial" w:hAnsi="Arial" w:cs="Arial"/>
          <w:i/>
          <w:sz w:val="24"/>
          <w:szCs w:val="24"/>
        </w:rPr>
      </w:pPr>
      <w:r w:rsidRPr="00AF652D">
        <w:rPr>
          <w:rFonts w:ascii="Arial" w:hAnsi="Arial" w:cs="Arial"/>
          <w:i/>
          <w:sz w:val="24"/>
          <w:szCs w:val="24"/>
        </w:rPr>
        <w:t>Protection from dismissal</w:t>
      </w:r>
    </w:p>
    <w:p w:rsidR="00ED2950" w:rsidRPr="00AF652D" w:rsidRDefault="00ED2950" w:rsidP="00AB2326">
      <w:pPr>
        <w:pStyle w:val="ListParagraph"/>
        <w:numPr>
          <w:ilvl w:val="0"/>
          <w:numId w:val="9"/>
        </w:numPr>
        <w:tabs>
          <w:tab w:val="left" w:pos="2694"/>
        </w:tabs>
        <w:spacing w:after="0" w:line="240" w:lineRule="auto"/>
        <w:ind w:left="851" w:hanging="284"/>
        <w:rPr>
          <w:rFonts w:ascii="Arial" w:hAnsi="Arial" w:cs="Arial"/>
          <w:i/>
          <w:sz w:val="24"/>
          <w:szCs w:val="24"/>
        </w:rPr>
      </w:pPr>
      <w:r w:rsidRPr="00AF652D">
        <w:rPr>
          <w:rFonts w:ascii="Arial" w:hAnsi="Arial" w:cs="Arial"/>
          <w:i/>
          <w:sz w:val="24"/>
          <w:szCs w:val="24"/>
        </w:rPr>
        <w:t>Right to join a trade union and take industrial action</w:t>
      </w:r>
    </w:p>
    <w:p w:rsidR="00ED2950" w:rsidRPr="00AF652D" w:rsidRDefault="00ED2950" w:rsidP="00AB2326">
      <w:pPr>
        <w:pStyle w:val="ListParagraph"/>
        <w:numPr>
          <w:ilvl w:val="0"/>
          <w:numId w:val="9"/>
        </w:numPr>
        <w:tabs>
          <w:tab w:val="left" w:pos="2694"/>
        </w:tabs>
        <w:spacing w:after="0" w:line="240" w:lineRule="auto"/>
        <w:ind w:left="851" w:hanging="284"/>
        <w:rPr>
          <w:rFonts w:ascii="Arial" w:hAnsi="Arial" w:cs="Arial"/>
          <w:i/>
          <w:sz w:val="24"/>
          <w:szCs w:val="24"/>
        </w:rPr>
      </w:pPr>
      <w:r w:rsidRPr="00AF652D">
        <w:rPr>
          <w:rFonts w:ascii="Arial" w:hAnsi="Arial" w:cs="Arial"/>
          <w:i/>
          <w:sz w:val="24"/>
          <w:szCs w:val="24"/>
        </w:rPr>
        <w:t>Health and Safety legislation</w:t>
      </w:r>
    </w:p>
    <w:p w:rsidR="00ED2950" w:rsidRPr="00AF652D" w:rsidRDefault="00ED2950" w:rsidP="00AB2326">
      <w:pPr>
        <w:pStyle w:val="ListParagraph"/>
        <w:numPr>
          <w:ilvl w:val="0"/>
          <w:numId w:val="9"/>
        </w:numPr>
        <w:tabs>
          <w:tab w:val="left" w:pos="2694"/>
        </w:tabs>
        <w:spacing w:after="0" w:line="240" w:lineRule="auto"/>
        <w:ind w:left="851" w:hanging="284"/>
        <w:rPr>
          <w:rFonts w:ascii="Arial" w:hAnsi="Arial" w:cs="Arial"/>
          <w:i/>
          <w:sz w:val="24"/>
          <w:szCs w:val="24"/>
        </w:rPr>
      </w:pPr>
      <w:r w:rsidRPr="00AF652D">
        <w:rPr>
          <w:rFonts w:ascii="Arial" w:hAnsi="Arial" w:cs="Arial"/>
          <w:i/>
          <w:sz w:val="24"/>
          <w:szCs w:val="24"/>
        </w:rPr>
        <w:t>Right to be consulted and receive information from the employer</w:t>
      </w:r>
    </w:p>
    <w:p w:rsidR="00ED2950" w:rsidRPr="00AF652D" w:rsidRDefault="00ED2950" w:rsidP="00AB2326">
      <w:pPr>
        <w:pStyle w:val="ListParagraph"/>
        <w:numPr>
          <w:ilvl w:val="0"/>
          <w:numId w:val="9"/>
        </w:numPr>
        <w:tabs>
          <w:tab w:val="left" w:pos="2694"/>
        </w:tabs>
        <w:spacing w:after="0" w:line="240" w:lineRule="auto"/>
        <w:ind w:left="851" w:hanging="284"/>
        <w:rPr>
          <w:rFonts w:ascii="Arial" w:hAnsi="Arial" w:cs="Arial"/>
          <w:i/>
          <w:sz w:val="24"/>
          <w:szCs w:val="24"/>
        </w:rPr>
      </w:pPr>
      <w:r w:rsidRPr="00AF652D">
        <w:rPr>
          <w:rFonts w:ascii="Arial" w:hAnsi="Arial" w:cs="Arial"/>
          <w:i/>
          <w:sz w:val="24"/>
          <w:szCs w:val="24"/>
        </w:rPr>
        <w:t>Protection from discrimination</w:t>
      </w:r>
    </w:p>
    <w:p w:rsidR="00ED2950" w:rsidRPr="00AF652D" w:rsidRDefault="00ED2950" w:rsidP="00AB2326">
      <w:pPr>
        <w:tabs>
          <w:tab w:val="left" w:pos="2694"/>
        </w:tabs>
        <w:spacing w:after="0" w:line="240" w:lineRule="auto"/>
        <w:rPr>
          <w:rFonts w:ascii="Arial" w:hAnsi="Arial" w:cs="Arial"/>
          <w:i/>
          <w:sz w:val="24"/>
          <w:szCs w:val="24"/>
        </w:rPr>
      </w:pPr>
    </w:p>
    <w:p w:rsidR="00ED2950" w:rsidRPr="00AF652D" w:rsidRDefault="00ED2950" w:rsidP="00AB2326">
      <w:pPr>
        <w:tabs>
          <w:tab w:val="left" w:pos="2694"/>
        </w:tabs>
        <w:spacing w:after="0" w:line="240" w:lineRule="auto"/>
        <w:ind w:left="567"/>
        <w:rPr>
          <w:rFonts w:ascii="Arial" w:hAnsi="Arial" w:cs="Arial"/>
          <w:i/>
          <w:sz w:val="24"/>
          <w:szCs w:val="24"/>
        </w:rPr>
      </w:pPr>
      <w:r w:rsidRPr="00AF652D">
        <w:rPr>
          <w:rFonts w:ascii="Arial" w:hAnsi="Arial" w:cs="Arial"/>
          <w:i/>
          <w:sz w:val="24"/>
          <w:szCs w:val="24"/>
        </w:rPr>
        <w:t xml:space="preserve">If protection for workers employed in sheltered workshops is the same as for all other workers, you only need to indicate this, and not discuss level of protection </w:t>
      </w:r>
      <w:r w:rsidRPr="00AF652D">
        <w:rPr>
          <w:rFonts w:ascii="Arial" w:hAnsi="Arial" w:cs="Arial"/>
          <w:i/>
          <w:sz w:val="24"/>
          <w:szCs w:val="24"/>
        </w:rPr>
        <w:lastRenderedPageBreak/>
        <w:t>as such. If workers employed in sheltered workshops have a different level of protection, please indicate this and indicate how this level of protection differs from that available to workers in general.</w:t>
      </w:r>
      <w:r w:rsidR="00C20502" w:rsidRPr="00AF652D">
        <w:rPr>
          <w:rFonts w:ascii="Arial" w:hAnsi="Arial" w:cs="Arial"/>
          <w:i/>
          <w:sz w:val="24"/>
          <w:szCs w:val="24"/>
        </w:rPr>
        <w:t xml:space="preserve"> </w:t>
      </w:r>
    </w:p>
    <w:p w:rsidR="00020C3C" w:rsidRPr="00AF652D" w:rsidRDefault="00020C3C" w:rsidP="00AB2326">
      <w:pPr>
        <w:tabs>
          <w:tab w:val="left" w:pos="2694"/>
        </w:tabs>
        <w:spacing w:after="0" w:line="240" w:lineRule="auto"/>
        <w:rPr>
          <w:rFonts w:ascii="Arial" w:hAnsi="Arial" w:cs="Arial"/>
          <w:sz w:val="24"/>
          <w:szCs w:val="24"/>
        </w:rPr>
      </w:pPr>
    </w:p>
    <w:p w:rsidR="002102EA" w:rsidRPr="00AF652D" w:rsidRDefault="002102EA"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A</w:t>
      </w:r>
      <w:r w:rsidR="008F59D0" w:rsidRPr="00AF652D">
        <w:rPr>
          <w:rFonts w:ascii="Arial" w:hAnsi="Arial" w:cs="Arial"/>
          <w:sz w:val="24"/>
          <w:szCs w:val="24"/>
        </w:rPr>
        <w:t xml:space="preserve">ccredited employment can be considered as a semi-sheltered form of </w:t>
      </w:r>
      <w:r w:rsidR="009F076A" w:rsidRPr="00AF652D">
        <w:rPr>
          <w:rFonts w:ascii="Arial" w:hAnsi="Arial" w:cs="Arial"/>
          <w:sz w:val="24"/>
          <w:szCs w:val="24"/>
        </w:rPr>
        <w:t>employment</w:t>
      </w:r>
      <w:r w:rsidR="00391481" w:rsidRPr="00AF652D">
        <w:rPr>
          <w:rFonts w:ascii="Arial" w:hAnsi="Arial" w:cs="Arial"/>
          <w:sz w:val="24"/>
          <w:szCs w:val="24"/>
        </w:rPr>
        <w:t xml:space="preserve">. The legal framework of employment </w:t>
      </w:r>
      <w:r w:rsidR="002639F7" w:rsidRPr="00AF652D">
        <w:rPr>
          <w:rFonts w:ascii="Arial" w:hAnsi="Arial" w:cs="Arial"/>
          <w:sz w:val="24"/>
          <w:szCs w:val="24"/>
        </w:rPr>
        <w:t xml:space="preserve">is </w:t>
      </w:r>
      <w:r w:rsidR="003E729C" w:rsidRPr="00AF652D">
        <w:rPr>
          <w:rFonts w:ascii="Arial" w:hAnsi="Arial" w:cs="Arial"/>
          <w:sz w:val="24"/>
          <w:szCs w:val="24"/>
        </w:rPr>
        <w:t xml:space="preserve">governed by the LC. </w:t>
      </w:r>
    </w:p>
    <w:p w:rsidR="003E729C" w:rsidRPr="00AF652D" w:rsidRDefault="003E729C" w:rsidP="00AB2326">
      <w:pPr>
        <w:tabs>
          <w:tab w:val="left" w:pos="2694"/>
        </w:tabs>
        <w:spacing w:after="0" w:line="240" w:lineRule="auto"/>
        <w:rPr>
          <w:rFonts w:ascii="Arial" w:hAnsi="Arial" w:cs="Arial"/>
          <w:sz w:val="24"/>
          <w:szCs w:val="24"/>
        </w:rPr>
      </w:pPr>
    </w:p>
    <w:p w:rsidR="00A80947" w:rsidRPr="00AF652D" w:rsidRDefault="00C73BE7"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A s</w:t>
      </w:r>
      <w:r w:rsidR="003E729C" w:rsidRPr="00AF652D">
        <w:rPr>
          <w:rFonts w:ascii="Arial" w:hAnsi="Arial" w:cs="Arial"/>
          <w:sz w:val="24"/>
          <w:szCs w:val="24"/>
        </w:rPr>
        <w:t>heltered employment scheme</w:t>
      </w:r>
      <w:r w:rsidRPr="00AF652D">
        <w:rPr>
          <w:rFonts w:ascii="Arial" w:hAnsi="Arial" w:cs="Arial"/>
          <w:sz w:val="24"/>
          <w:szCs w:val="24"/>
        </w:rPr>
        <w:t>, nominated as social employment</w:t>
      </w:r>
      <w:r w:rsidR="00AE420E" w:rsidRPr="00AF652D">
        <w:rPr>
          <w:rFonts w:ascii="Arial" w:hAnsi="Arial" w:cs="Arial"/>
          <w:sz w:val="24"/>
          <w:szCs w:val="24"/>
        </w:rPr>
        <w:t xml:space="preserve"> </w:t>
      </w:r>
      <w:r w:rsidRPr="00AF652D">
        <w:rPr>
          <w:rFonts w:ascii="Arial" w:hAnsi="Arial" w:cs="Arial"/>
          <w:sz w:val="24"/>
          <w:szCs w:val="24"/>
        </w:rPr>
        <w:t xml:space="preserve">is regulated </w:t>
      </w:r>
      <w:r w:rsidR="00534D6D" w:rsidRPr="00AF652D">
        <w:rPr>
          <w:rFonts w:ascii="Arial" w:hAnsi="Arial" w:cs="Arial"/>
          <w:sz w:val="24"/>
          <w:szCs w:val="24"/>
        </w:rPr>
        <w:t xml:space="preserve">by the </w:t>
      </w:r>
      <w:r w:rsidR="00A80947" w:rsidRPr="00AF652D">
        <w:rPr>
          <w:rFonts w:ascii="Arial" w:hAnsi="Arial" w:cs="Arial"/>
          <w:sz w:val="24"/>
          <w:szCs w:val="24"/>
        </w:rPr>
        <w:t>Act III of 1993 on social administration and social benefits (hereinafter: SA</w:t>
      </w:r>
      <w:r w:rsidR="00C36D1D" w:rsidRPr="00AF652D">
        <w:rPr>
          <w:rFonts w:ascii="Arial" w:hAnsi="Arial" w:cs="Arial"/>
          <w:sz w:val="24"/>
          <w:szCs w:val="24"/>
        </w:rPr>
        <w:t>SB Act</w:t>
      </w:r>
      <w:r w:rsidR="00A80947" w:rsidRPr="00AF652D">
        <w:rPr>
          <w:rFonts w:ascii="Arial" w:hAnsi="Arial" w:cs="Arial"/>
          <w:sz w:val="24"/>
          <w:szCs w:val="24"/>
        </w:rPr>
        <w:t>)</w:t>
      </w:r>
      <w:r w:rsidR="002639F7" w:rsidRPr="00AF652D">
        <w:rPr>
          <w:rFonts w:ascii="Arial" w:hAnsi="Arial" w:cs="Arial"/>
          <w:sz w:val="24"/>
          <w:szCs w:val="24"/>
        </w:rPr>
        <w:t>.</w:t>
      </w:r>
      <w:r w:rsidR="00AE420E" w:rsidRPr="00AF652D">
        <w:rPr>
          <w:rFonts w:ascii="Arial" w:hAnsi="Arial" w:cs="Arial"/>
          <w:sz w:val="24"/>
          <w:szCs w:val="24"/>
        </w:rPr>
        <w:t xml:space="preserve"> </w:t>
      </w:r>
      <w:r w:rsidRPr="00AF652D">
        <w:rPr>
          <w:rFonts w:ascii="Arial" w:hAnsi="Arial" w:cs="Arial"/>
          <w:sz w:val="24"/>
          <w:szCs w:val="24"/>
        </w:rPr>
        <w:t xml:space="preserve">Social employment is </w:t>
      </w:r>
      <w:r w:rsidR="005752AF" w:rsidRPr="00AF652D">
        <w:rPr>
          <w:rFonts w:ascii="Arial" w:hAnsi="Arial" w:cs="Arial"/>
          <w:sz w:val="24"/>
          <w:szCs w:val="24"/>
        </w:rPr>
        <w:t xml:space="preserve">available </w:t>
      </w:r>
      <w:r w:rsidR="001D2470" w:rsidRPr="00AF652D">
        <w:rPr>
          <w:rFonts w:ascii="Arial" w:hAnsi="Arial" w:cs="Arial"/>
          <w:sz w:val="24"/>
          <w:szCs w:val="24"/>
        </w:rPr>
        <w:t>exclusively for</w:t>
      </w:r>
      <w:r w:rsidRPr="00AF652D">
        <w:rPr>
          <w:rFonts w:ascii="Arial" w:hAnsi="Arial" w:cs="Arial"/>
          <w:sz w:val="24"/>
          <w:szCs w:val="24"/>
        </w:rPr>
        <w:t xml:space="preserve"> inh</w:t>
      </w:r>
      <w:r w:rsidR="005752AF" w:rsidRPr="00AF652D">
        <w:rPr>
          <w:rFonts w:ascii="Arial" w:hAnsi="Arial" w:cs="Arial"/>
          <w:sz w:val="24"/>
          <w:szCs w:val="24"/>
        </w:rPr>
        <w:t>abitants of social institutions</w:t>
      </w:r>
      <w:r w:rsidR="0046598A" w:rsidRPr="00AF652D">
        <w:rPr>
          <w:rStyle w:val="FootnoteReference"/>
          <w:rFonts w:ascii="Arial" w:hAnsi="Arial" w:cs="Arial"/>
          <w:sz w:val="24"/>
          <w:szCs w:val="24"/>
        </w:rPr>
        <w:footnoteReference w:id="82"/>
      </w:r>
      <w:r w:rsidR="005752AF" w:rsidRPr="00AF652D">
        <w:rPr>
          <w:rFonts w:ascii="Arial" w:hAnsi="Arial" w:cs="Arial"/>
          <w:sz w:val="24"/>
          <w:szCs w:val="24"/>
        </w:rPr>
        <w:t xml:space="preserve"> and ca</w:t>
      </w:r>
      <w:r w:rsidR="00430DDB" w:rsidRPr="00AF652D">
        <w:rPr>
          <w:rFonts w:ascii="Arial" w:hAnsi="Arial" w:cs="Arial"/>
          <w:sz w:val="24"/>
          <w:szCs w:val="24"/>
        </w:rPr>
        <w:t>n be provided exclusively by that</w:t>
      </w:r>
      <w:r w:rsidR="005752AF" w:rsidRPr="00AF652D">
        <w:rPr>
          <w:rFonts w:ascii="Arial" w:hAnsi="Arial" w:cs="Arial"/>
          <w:sz w:val="24"/>
          <w:szCs w:val="24"/>
        </w:rPr>
        <w:t xml:space="preserve"> institution.</w:t>
      </w:r>
      <w:r w:rsidR="005752AF" w:rsidRPr="00AF652D">
        <w:rPr>
          <w:rStyle w:val="FootnoteReference"/>
          <w:rFonts w:ascii="Arial" w:hAnsi="Arial" w:cs="Arial"/>
          <w:sz w:val="24"/>
          <w:szCs w:val="24"/>
        </w:rPr>
        <w:footnoteReference w:id="83"/>
      </w:r>
    </w:p>
    <w:p w:rsidR="00DB20EB" w:rsidRDefault="00266414"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There are two types of social employment</w:t>
      </w:r>
      <w:r w:rsidR="00DB20EB" w:rsidRPr="00AF652D">
        <w:rPr>
          <w:rFonts w:ascii="Arial" w:hAnsi="Arial" w:cs="Arial"/>
          <w:sz w:val="24"/>
          <w:szCs w:val="24"/>
        </w:rPr>
        <w:t>.</w:t>
      </w:r>
    </w:p>
    <w:p w:rsidR="00AF652D" w:rsidRPr="00AF652D" w:rsidRDefault="00AF652D" w:rsidP="00AB2326">
      <w:pPr>
        <w:tabs>
          <w:tab w:val="left" w:pos="2694"/>
        </w:tabs>
        <w:spacing w:after="0" w:line="240" w:lineRule="auto"/>
        <w:jc w:val="both"/>
        <w:rPr>
          <w:rFonts w:ascii="Arial" w:hAnsi="Arial" w:cs="Arial"/>
          <w:sz w:val="24"/>
          <w:szCs w:val="24"/>
        </w:rPr>
      </w:pPr>
    </w:p>
    <w:p w:rsidR="00430DDB" w:rsidRPr="00AF652D" w:rsidRDefault="00A950CD" w:rsidP="00AB2326">
      <w:pPr>
        <w:pStyle w:val="ListParagraph"/>
        <w:numPr>
          <w:ilvl w:val="0"/>
          <w:numId w:val="25"/>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„Developing and preparing employment”</w:t>
      </w:r>
      <w:r w:rsidR="00AF652D">
        <w:rPr>
          <w:rFonts w:ascii="Arial" w:hAnsi="Arial" w:cs="Arial"/>
          <w:sz w:val="24"/>
          <w:szCs w:val="24"/>
        </w:rPr>
        <w:t xml:space="preserve"> </w:t>
      </w:r>
      <w:r w:rsidR="00430DDB" w:rsidRPr="00AF652D">
        <w:rPr>
          <w:rFonts w:ascii="Arial" w:hAnsi="Arial" w:cs="Arial"/>
          <w:sz w:val="24"/>
          <w:szCs w:val="24"/>
        </w:rPr>
        <w:t>(</w:t>
      </w:r>
      <w:r w:rsidR="0041014B" w:rsidRPr="00AF652D">
        <w:rPr>
          <w:rFonts w:ascii="Arial" w:hAnsi="Arial" w:cs="Arial"/>
          <w:sz w:val="24"/>
          <w:szCs w:val="24"/>
        </w:rPr>
        <w:t>hereinafter: DPE)</w:t>
      </w:r>
      <w:r w:rsidRPr="00AF652D">
        <w:rPr>
          <w:rFonts w:ascii="Arial" w:hAnsi="Arial" w:cs="Arial"/>
          <w:sz w:val="24"/>
          <w:szCs w:val="24"/>
        </w:rPr>
        <w:t xml:space="preserve">. </w:t>
      </w:r>
    </w:p>
    <w:p w:rsidR="0041014B" w:rsidRPr="00AF652D" w:rsidRDefault="00073F21" w:rsidP="00AB2326">
      <w:pPr>
        <w:pStyle w:val="ListParagraph"/>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ab/>
      </w:r>
      <w:r w:rsidR="00A950CD" w:rsidRPr="00AF652D">
        <w:rPr>
          <w:rFonts w:ascii="Arial" w:hAnsi="Arial" w:cs="Arial"/>
          <w:sz w:val="24"/>
          <w:szCs w:val="24"/>
        </w:rPr>
        <w:t>The purpose of this form of employment is to develop</w:t>
      </w:r>
      <w:r w:rsidR="0041014B" w:rsidRPr="00AF652D">
        <w:rPr>
          <w:rFonts w:ascii="Arial" w:hAnsi="Arial" w:cs="Arial"/>
          <w:sz w:val="24"/>
          <w:szCs w:val="24"/>
        </w:rPr>
        <w:t xml:space="preserve"> and rehabilitate</w:t>
      </w:r>
      <w:r w:rsidR="00A950CD" w:rsidRPr="00AF652D">
        <w:rPr>
          <w:rFonts w:ascii="Arial" w:hAnsi="Arial" w:cs="Arial"/>
          <w:sz w:val="24"/>
          <w:szCs w:val="24"/>
        </w:rPr>
        <w:t xml:space="preserve"> the autonomous working ability of the </w:t>
      </w:r>
      <w:r w:rsidR="00E210A9" w:rsidRPr="00AF652D">
        <w:rPr>
          <w:rFonts w:ascii="Arial" w:hAnsi="Arial" w:cs="Arial"/>
          <w:sz w:val="24"/>
          <w:szCs w:val="24"/>
        </w:rPr>
        <w:t xml:space="preserve">employee through </w:t>
      </w:r>
      <w:r w:rsidR="0041014B" w:rsidRPr="00AF652D">
        <w:rPr>
          <w:rFonts w:ascii="Arial" w:hAnsi="Arial" w:cs="Arial"/>
          <w:sz w:val="24"/>
          <w:szCs w:val="24"/>
        </w:rPr>
        <w:t xml:space="preserve">training and working </w:t>
      </w:r>
      <w:proofErr w:type="gramStart"/>
      <w:r w:rsidR="0041014B" w:rsidRPr="00AF652D">
        <w:rPr>
          <w:rFonts w:ascii="Arial" w:hAnsi="Arial" w:cs="Arial"/>
          <w:sz w:val="24"/>
          <w:szCs w:val="24"/>
        </w:rPr>
        <w:t>in order to</w:t>
      </w:r>
      <w:proofErr w:type="gramEnd"/>
      <w:r w:rsidR="0041014B" w:rsidRPr="00AF652D">
        <w:rPr>
          <w:rFonts w:ascii="Arial" w:hAnsi="Arial" w:cs="Arial"/>
          <w:sz w:val="24"/>
          <w:szCs w:val="24"/>
        </w:rPr>
        <w:t xml:space="preserve"> enable him/her to work in the open labour market.</w:t>
      </w:r>
      <w:r w:rsidR="003D107A" w:rsidRPr="00AF652D">
        <w:rPr>
          <w:rFonts w:ascii="Arial" w:hAnsi="Arial" w:cs="Arial"/>
          <w:sz w:val="24"/>
          <w:szCs w:val="24"/>
        </w:rPr>
        <w:t xml:space="preserve"> DP</w:t>
      </w:r>
      <w:r w:rsidR="00F87212" w:rsidRPr="00AF652D">
        <w:rPr>
          <w:rFonts w:ascii="Arial" w:hAnsi="Arial" w:cs="Arial"/>
          <w:sz w:val="24"/>
          <w:szCs w:val="24"/>
        </w:rPr>
        <w:t xml:space="preserve">E can take place </w:t>
      </w:r>
      <w:proofErr w:type="gramStart"/>
      <w:r w:rsidR="00F87212" w:rsidRPr="00AF652D">
        <w:rPr>
          <w:rFonts w:ascii="Arial" w:hAnsi="Arial" w:cs="Arial"/>
          <w:sz w:val="24"/>
          <w:szCs w:val="24"/>
        </w:rPr>
        <w:t>on the basis of</w:t>
      </w:r>
      <w:proofErr w:type="gramEnd"/>
      <w:r w:rsidR="00F87212" w:rsidRPr="00AF652D">
        <w:rPr>
          <w:rFonts w:ascii="Arial" w:hAnsi="Arial" w:cs="Arial"/>
          <w:sz w:val="24"/>
          <w:szCs w:val="24"/>
        </w:rPr>
        <w:t xml:space="preserve"> a fixed-term </w:t>
      </w:r>
      <w:r w:rsidR="00F45878" w:rsidRPr="00AF652D">
        <w:rPr>
          <w:rFonts w:ascii="Arial" w:hAnsi="Arial" w:cs="Arial"/>
          <w:sz w:val="24"/>
          <w:szCs w:val="24"/>
        </w:rPr>
        <w:t xml:space="preserve">labour contract </w:t>
      </w:r>
      <w:r w:rsidR="00F87212" w:rsidRPr="00AF652D">
        <w:rPr>
          <w:rFonts w:ascii="Arial" w:hAnsi="Arial" w:cs="Arial"/>
          <w:sz w:val="24"/>
          <w:szCs w:val="24"/>
        </w:rPr>
        <w:t xml:space="preserve">concluded by the inhabitant </w:t>
      </w:r>
      <w:r w:rsidR="001F10BF" w:rsidRPr="00AF652D">
        <w:rPr>
          <w:rFonts w:ascii="Arial" w:hAnsi="Arial" w:cs="Arial"/>
          <w:sz w:val="24"/>
          <w:szCs w:val="24"/>
        </w:rPr>
        <w:t xml:space="preserve">(or </w:t>
      </w:r>
      <w:r w:rsidR="00430DDB" w:rsidRPr="00AF652D">
        <w:rPr>
          <w:rFonts w:ascii="Arial" w:hAnsi="Arial" w:cs="Arial"/>
          <w:sz w:val="24"/>
          <w:szCs w:val="24"/>
        </w:rPr>
        <w:t xml:space="preserve">his/her legal representative </w:t>
      </w:r>
      <w:r w:rsidR="00677B27" w:rsidRPr="00AF652D">
        <w:rPr>
          <w:rFonts w:ascii="Arial" w:hAnsi="Arial" w:cs="Arial"/>
          <w:sz w:val="24"/>
          <w:szCs w:val="24"/>
        </w:rPr>
        <w:t>on behal</w:t>
      </w:r>
      <w:r w:rsidR="00AF652D">
        <w:rPr>
          <w:rFonts w:ascii="Arial" w:hAnsi="Arial" w:cs="Arial"/>
          <w:sz w:val="24"/>
          <w:szCs w:val="24"/>
        </w:rPr>
        <w:t>f</w:t>
      </w:r>
      <w:r w:rsidR="00677B27" w:rsidRPr="00AF652D">
        <w:rPr>
          <w:rFonts w:ascii="Arial" w:hAnsi="Arial" w:cs="Arial"/>
          <w:sz w:val="24"/>
          <w:szCs w:val="24"/>
        </w:rPr>
        <w:t xml:space="preserve"> of him/her </w:t>
      </w:r>
      <w:r w:rsidR="00430DDB" w:rsidRPr="00AF652D">
        <w:rPr>
          <w:rFonts w:ascii="Arial" w:hAnsi="Arial" w:cs="Arial"/>
          <w:sz w:val="24"/>
          <w:szCs w:val="24"/>
        </w:rPr>
        <w:t>if</w:t>
      </w:r>
      <w:r w:rsidR="001F10BF" w:rsidRPr="00AF652D">
        <w:rPr>
          <w:rFonts w:ascii="Arial" w:hAnsi="Arial" w:cs="Arial"/>
          <w:sz w:val="24"/>
          <w:szCs w:val="24"/>
        </w:rPr>
        <w:t xml:space="preserve"> he/she is under guardianship) </w:t>
      </w:r>
      <w:r w:rsidR="00F87212" w:rsidRPr="00AF652D">
        <w:rPr>
          <w:rFonts w:ascii="Arial" w:hAnsi="Arial" w:cs="Arial"/>
          <w:sz w:val="24"/>
          <w:szCs w:val="24"/>
        </w:rPr>
        <w:t xml:space="preserve">and the director of the institution. </w:t>
      </w:r>
      <w:proofErr w:type="gramStart"/>
      <w:r w:rsidR="00F45878" w:rsidRPr="00AF652D">
        <w:rPr>
          <w:rFonts w:ascii="Arial" w:hAnsi="Arial" w:cs="Arial"/>
          <w:sz w:val="24"/>
          <w:szCs w:val="24"/>
        </w:rPr>
        <w:t>So</w:t>
      </w:r>
      <w:proofErr w:type="gramEnd"/>
      <w:r w:rsidR="00F45878" w:rsidRPr="00AF652D">
        <w:rPr>
          <w:rFonts w:ascii="Arial" w:hAnsi="Arial" w:cs="Arial"/>
          <w:sz w:val="24"/>
          <w:szCs w:val="24"/>
        </w:rPr>
        <w:t xml:space="preserve"> the legal relationship is governed by the LC, with some specific regulations under the SASB Act</w:t>
      </w:r>
      <w:r w:rsidR="00D56E4D" w:rsidRPr="00AF652D">
        <w:rPr>
          <w:rFonts w:ascii="Arial" w:hAnsi="Arial" w:cs="Arial"/>
          <w:sz w:val="24"/>
          <w:szCs w:val="24"/>
        </w:rPr>
        <w:t>, especially in terms of the orga</w:t>
      </w:r>
      <w:r w:rsidR="00677B27" w:rsidRPr="00AF652D">
        <w:rPr>
          <w:rFonts w:ascii="Arial" w:hAnsi="Arial" w:cs="Arial"/>
          <w:sz w:val="24"/>
          <w:szCs w:val="24"/>
        </w:rPr>
        <w:t>n</w:t>
      </w:r>
      <w:r w:rsidR="00D56E4D" w:rsidRPr="00AF652D">
        <w:rPr>
          <w:rFonts w:ascii="Arial" w:hAnsi="Arial" w:cs="Arial"/>
          <w:sz w:val="24"/>
          <w:szCs w:val="24"/>
        </w:rPr>
        <w:t>isation of working time</w:t>
      </w:r>
      <w:r w:rsidR="00F45878" w:rsidRPr="00AF652D">
        <w:rPr>
          <w:rFonts w:ascii="Arial" w:hAnsi="Arial" w:cs="Arial"/>
          <w:sz w:val="24"/>
          <w:szCs w:val="24"/>
        </w:rPr>
        <w:t>.</w:t>
      </w:r>
      <w:r w:rsidR="00AF652D">
        <w:rPr>
          <w:rFonts w:ascii="Arial" w:hAnsi="Arial" w:cs="Arial"/>
          <w:sz w:val="24"/>
          <w:szCs w:val="24"/>
        </w:rPr>
        <w:t xml:space="preserve"> </w:t>
      </w:r>
      <w:r w:rsidR="008D4C59" w:rsidRPr="00AF652D">
        <w:rPr>
          <w:rFonts w:ascii="Arial" w:hAnsi="Arial" w:cs="Arial"/>
          <w:sz w:val="24"/>
          <w:szCs w:val="24"/>
        </w:rPr>
        <w:t>Regulations of labour law concerning the</w:t>
      </w:r>
      <w:r w:rsidR="00D56E4D" w:rsidRPr="00AF652D">
        <w:rPr>
          <w:rFonts w:ascii="Arial" w:hAnsi="Arial" w:cs="Arial"/>
          <w:sz w:val="24"/>
          <w:szCs w:val="24"/>
        </w:rPr>
        <w:t xml:space="preserve"> protection from dismissals, the right to join trade unions and take industrial actions, health and sa</w:t>
      </w:r>
      <w:r w:rsidR="00AF652D">
        <w:rPr>
          <w:rFonts w:ascii="Arial" w:hAnsi="Arial" w:cs="Arial"/>
          <w:sz w:val="24"/>
          <w:szCs w:val="24"/>
        </w:rPr>
        <w:t>f</w:t>
      </w:r>
      <w:r w:rsidR="00D56E4D" w:rsidRPr="00AF652D">
        <w:rPr>
          <w:rFonts w:ascii="Arial" w:hAnsi="Arial" w:cs="Arial"/>
          <w:sz w:val="24"/>
          <w:szCs w:val="24"/>
        </w:rPr>
        <w:t>e</w:t>
      </w:r>
      <w:r w:rsidR="00AF652D">
        <w:rPr>
          <w:rFonts w:ascii="Arial" w:hAnsi="Arial" w:cs="Arial"/>
          <w:sz w:val="24"/>
          <w:szCs w:val="24"/>
        </w:rPr>
        <w:t>t</w:t>
      </w:r>
      <w:r w:rsidR="00D56E4D" w:rsidRPr="00AF652D">
        <w:rPr>
          <w:rFonts w:ascii="Arial" w:hAnsi="Arial" w:cs="Arial"/>
          <w:sz w:val="24"/>
          <w:szCs w:val="24"/>
        </w:rPr>
        <w:t xml:space="preserve">y legislation, right to be consulted and receive information </w:t>
      </w:r>
      <w:r w:rsidR="008D4C59" w:rsidRPr="00AF652D">
        <w:rPr>
          <w:rFonts w:ascii="Arial" w:hAnsi="Arial" w:cs="Arial"/>
          <w:sz w:val="24"/>
          <w:szCs w:val="24"/>
        </w:rPr>
        <w:t xml:space="preserve">from the employer and protection from discrimination equally apply for employees </w:t>
      </w:r>
      <w:r w:rsidR="00FD6392" w:rsidRPr="00AF652D">
        <w:rPr>
          <w:rFonts w:ascii="Arial" w:hAnsi="Arial" w:cs="Arial"/>
          <w:sz w:val="24"/>
          <w:szCs w:val="24"/>
        </w:rPr>
        <w:t>in DPE.</w:t>
      </w:r>
      <w:r w:rsidR="00821182" w:rsidRPr="00AF652D">
        <w:rPr>
          <w:rStyle w:val="FootnoteReference"/>
          <w:rFonts w:ascii="Arial" w:hAnsi="Arial" w:cs="Arial"/>
          <w:sz w:val="24"/>
          <w:szCs w:val="24"/>
        </w:rPr>
        <w:footnoteReference w:id="84"/>
      </w:r>
    </w:p>
    <w:p w:rsidR="00A378F0" w:rsidRPr="00AF652D" w:rsidRDefault="00DB20EB" w:rsidP="00AB2326">
      <w:pPr>
        <w:pStyle w:val="ListParagraph"/>
        <w:numPr>
          <w:ilvl w:val="0"/>
          <w:numId w:val="25"/>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„W</w:t>
      </w:r>
      <w:r w:rsidR="00266414" w:rsidRPr="00AF652D">
        <w:rPr>
          <w:rFonts w:ascii="Arial" w:hAnsi="Arial" w:cs="Arial"/>
          <w:sz w:val="24"/>
          <w:szCs w:val="24"/>
        </w:rPr>
        <w:t>ork rehabilitation</w:t>
      </w:r>
      <w:r w:rsidRPr="00AF652D">
        <w:rPr>
          <w:rFonts w:ascii="Arial" w:hAnsi="Arial" w:cs="Arial"/>
          <w:sz w:val="24"/>
          <w:szCs w:val="24"/>
        </w:rPr>
        <w:t>”</w:t>
      </w:r>
      <w:r w:rsidR="001D2470" w:rsidRPr="00AF652D">
        <w:rPr>
          <w:rFonts w:ascii="Arial" w:hAnsi="Arial" w:cs="Arial"/>
          <w:sz w:val="24"/>
          <w:szCs w:val="24"/>
        </w:rPr>
        <w:t xml:space="preserve"> (hereinafter: WR). </w:t>
      </w:r>
    </w:p>
    <w:p w:rsidR="00073F21" w:rsidRPr="00AF652D" w:rsidRDefault="001D2470" w:rsidP="00AB2326">
      <w:pPr>
        <w:pStyle w:val="ListParagraph"/>
        <w:tabs>
          <w:tab w:val="left" w:pos="2694"/>
        </w:tabs>
        <w:spacing w:after="0" w:line="240" w:lineRule="auto"/>
        <w:ind w:left="567"/>
        <w:jc w:val="both"/>
        <w:rPr>
          <w:rFonts w:ascii="Arial" w:hAnsi="Arial" w:cs="Arial"/>
          <w:sz w:val="24"/>
          <w:szCs w:val="24"/>
        </w:rPr>
      </w:pPr>
      <w:r w:rsidRPr="00AF652D">
        <w:rPr>
          <w:rFonts w:ascii="Arial" w:hAnsi="Arial" w:cs="Arial"/>
          <w:sz w:val="24"/>
          <w:szCs w:val="24"/>
        </w:rPr>
        <w:t>The purpose of WR</w:t>
      </w:r>
      <w:r w:rsidR="00AF652D">
        <w:rPr>
          <w:rFonts w:ascii="Arial" w:hAnsi="Arial" w:cs="Arial"/>
          <w:sz w:val="24"/>
          <w:szCs w:val="24"/>
        </w:rPr>
        <w:t xml:space="preserve"> </w:t>
      </w:r>
      <w:r w:rsidRPr="00AF652D">
        <w:rPr>
          <w:rFonts w:ascii="Arial" w:hAnsi="Arial" w:cs="Arial"/>
          <w:sz w:val="24"/>
          <w:szCs w:val="24"/>
        </w:rPr>
        <w:t>is t</w:t>
      </w:r>
      <w:r w:rsidR="00C705E0" w:rsidRPr="00AF652D">
        <w:rPr>
          <w:rFonts w:ascii="Arial" w:hAnsi="Arial" w:cs="Arial"/>
          <w:sz w:val="24"/>
          <w:szCs w:val="24"/>
        </w:rPr>
        <w:t xml:space="preserve">he </w:t>
      </w:r>
      <w:r w:rsidRPr="00AF652D">
        <w:rPr>
          <w:rFonts w:ascii="Arial" w:hAnsi="Arial" w:cs="Arial"/>
          <w:sz w:val="24"/>
          <w:szCs w:val="24"/>
        </w:rPr>
        <w:t xml:space="preserve">preservation and the </w:t>
      </w:r>
      <w:r w:rsidR="00C705E0" w:rsidRPr="00AF652D">
        <w:rPr>
          <w:rFonts w:ascii="Arial" w:hAnsi="Arial" w:cs="Arial"/>
          <w:sz w:val="24"/>
          <w:szCs w:val="24"/>
        </w:rPr>
        <w:t xml:space="preserve">development of </w:t>
      </w:r>
      <w:r w:rsidRPr="00AF652D">
        <w:rPr>
          <w:rFonts w:ascii="Arial" w:hAnsi="Arial" w:cs="Arial"/>
          <w:sz w:val="24"/>
          <w:szCs w:val="24"/>
        </w:rPr>
        <w:t xml:space="preserve">the </w:t>
      </w:r>
      <w:r w:rsidR="003D107A" w:rsidRPr="00AF652D">
        <w:rPr>
          <w:rFonts w:ascii="Arial" w:hAnsi="Arial" w:cs="Arial"/>
          <w:sz w:val="24"/>
          <w:szCs w:val="24"/>
        </w:rPr>
        <w:t xml:space="preserve">health and mental condition and the working ability of the </w:t>
      </w:r>
      <w:r w:rsidRPr="00AF652D">
        <w:rPr>
          <w:rFonts w:ascii="Arial" w:hAnsi="Arial" w:cs="Arial"/>
          <w:sz w:val="24"/>
          <w:szCs w:val="24"/>
        </w:rPr>
        <w:t>client</w:t>
      </w:r>
      <w:r w:rsidR="003D107A" w:rsidRPr="00AF652D">
        <w:rPr>
          <w:rFonts w:ascii="Arial" w:hAnsi="Arial" w:cs="Arial"/>
          <w:sz w:val="24"/>
          <w:szCs w:val="24"/>
        </w:rPr>
        <w:t xml:space="preserve">, further the preparation for DPE. WR takes place based on a specific agreement </w:t>
      </w:r>
      <w:r w:rsidR="001F10BF" w:rsidRPr="00AF652D">
        <w:rPr>
          <w:rFonts w:ascii="Arial" w:hAnsi="Arial" w:cs="Arial"/>
          <w:sz w:val="24"/>
          <w:szCs w:val="24"/>
        </w:rPr>
        <w:t xml:space="preserve">the concluded by the inhabitant (or </w:t>
      </w:r>
      <w:r w:rsidR="00A378F0" w:rsidRPr="00AF652D">
        <w:rPr>
          <w:rFonts w:ascii="Arial" w:hAnsi="Arial" w:cs="Arial"/>
          <w:sz w:val="24"/>
          <w:szCs w:val="24"/>
        </w:rPr>
        <w:t>his/her legal representative if</w:t>
      </w:r>
      <w:r w:rsidR="001F10BF" w:rsidRPr="00AF652D">
        <w:rPr>
          <w:rFonts w:ascii="Arial" w:hAnsi="Arial" w:cs="Arial"/>
          <w:sz w:val="24"/>
          <w:szCs w:val="24"/>
        </w:rPr>
        <w:t xml:space="preserve"> he/she is under guardianship) and the director of the institution. </w:t>
      </w:r>
      <w:proofErr w:type="gramStart"/>
      <w:r w:rsidR="001F10BF" w:rsidRPr="00AF652D">
        <w:rPr>
          <w:rFonts w:ascii="Arial" w:hAnsi="Arial" w:cs="Arial"/>
          <w:sz w:val="24"/>
          <w:szCs w:val="24"/>
        </w:rPr>
        <w:t>So</w:t>
      </w:r>
      <w:proofErr w:type="gramEnd"/>
      <w:r w:rsidR="001F10BF" w:rsidRPr="00AF652D">
        <w:rPr>
          <w:rFonts w:ascii="Arial" w:hAnsi="Arial" w:cs="Arial"/>
          <w:sz w:val="24"/>
          <w:szCs w:val="24"/>
        </w:rPr>
        <w:t xml:space="preserve"> the legal framework of WR is not an employment relationship governed by the LC, but </w:t>
      </w:r>
      <w:r w:rsidR="006A7994" w:rsidRPr="00AF652D">
        <w:rPr>
          <w:rFonts w:ascii="Arial" w:hAnsi="Arial" w:cs="Arial"/>
          <w:sz w:val="24"/>
          <w:szCs w:val="24"/>
        </w:rPr>
        <w:t xml:space="preserve">it is an element of the </w:t>
      </w:r>
      <w:r w:rsidR="001F10BF" w:rsidRPr="00AF652D">
        <w:rPr>
          <w:rFonts w:ascii="Arial" w:hAnsi="Arial" w:cs="Arial"/>
          <w:sz w:val="24"/>
          <w:szCs w:val="24"/>
        </w:rPr>
        <w:t xml:space="preserve">agreement </w:t>
      </w:r>
      <w:r w:rsidR="006A7994" w:rsidRPr="00AF652D">
        <w:rPr>
          <w:rFonts w:ascii="Arial" w:hAnsi="Arial" w:cs="Arial"/>
          <w:sz w:val="24"/>
          <w:szCs w:val="24"/>
        </w:rPr>
        <w:t>on the reception of the services of the social institution</w:t>
      </w:r>
      <w:r w:rsidR="00F6744E" w:rsidRPr="00AF652D">
        <w:rPr>
          <w:rFonts w:ascii="Arial" w:hAnsi="Arial" w:cs="Arial"/>
          <w:sz w:val="24"/>
          <w:szCs w:val="24"/>
        </w:rPr>
        <w:t>. The SASB Act provides some regulations on the conditions of the WR</w:t>
      </w:r>
      <w:r w:rsidR="00CB3C3C" w:rsidRPr="00AF652D">
        <w:rPr>
          <w:rFonts w:ascii="Arial" w:hAnsi="Arial" w:cs="Arial"/>
          <w:sz w:val="24"/>
          <w:szCs w:val="24"/>
        </w:rPr>
        <w:t xml:space="preserve">: </w:t>
      </w:r>
      <w:r w:rsidR="00F23116" w:rsidRPr="00AF652D">
        <w:rPr>
          <w:rFonts w:ascii="Arial" w:hAnsi="Arial" w:cs="Arial"/>
          <w:sz w:val="24"/>
          <w:szCs w:val="24"/>
        </w:rPr>
        <w:t>limitations on w</w:t>
      </w:r>
      <w:r w:rsidR="003B0033" w:rsidRPr="00AF652D">
        <w:rPr>
          <w:rFonts w:ascii="Arial" w:hAnsi="Arial" w:cs="Arial"/>
          <w:sz w:val="24"/>
          <w:szCs w:val="24"/>
        </w:rPr>
        <w:t xml:space="preserve">orking time, </w:t>
      </w:r>
      <w:r w:rsidR="00AF652D" w:rsidRPr="00AF652D">
        <w:rPr>
          <w:rFonts w:ascii="Arial" w:hAnsi="Arial" w:cs="Arial"/>
          <w:sz w:val="24"/>
          <w:szCs w:val="24"/>
        </w:rPr>
        <w:t>threshold</w:t>
      </w:r>
      <w:r w:rsidR="00F23116" w:rsidRPr="00AF652D">
        <w:rPr>
          <w:rFonts w:ascii="Arial" w:hAnsi="Arial" w:cs="Arial"/>
          <w:sz w:val="24"/>
          <w:szCs w:val="24"/>
        </w:rPr>
        <w:t xml:space="preserve"> of the wage (amounting to the 30 % of the general minimum wage</w:t>
      </w:r>
      <w:r w:rsidR="003B0033" w:rsidRPr="00AF652D">
        <w:rPr>
          <w:rFonts w:ascii="Arial" w:hAnsi="Arial" w:cs="Arial"/>
          <w:sz w:val="24"/>
          <w:szCs w:val="24"/>
        </w:rPr>
        <w:t>)</w:t>
      </w:r>
      <w:r w:rsidR="00CA71C8" w:rsidRPr="00AF652D">
        <w:rPr>
          <w:rFonts w:ascii="Arial" w:hAnsi="Arial" w:cs="Arial"/>
          <w:sz w:val="24"/>
          <w:szCs w:val="24"/>
        </w:rPr>
        <w:t>. The director of the institution is entitled to terminate the WR provided that the WR endangers the client’s own or others’ health and safety</w:t>
      </w:r>
      <w:r w:rsidR="000230E2" w:rsidRPr="00AF652D">
        <w:rPr>
          <w:rFonts w:ascii="Arial" w:hAnsi="Arial" w:cs="Arial"/>
          <w:sz w:val="24"/>
          <w:szCs w:val="24"/>
        </w:rPr>
        <w:t>, or is the safety of employment cannot be guaranteed because of the client’s conduct.</w:t>
      </w:r>
      <w:r w:rsidR="00C20502" w:rsidRPr="00AF652D">
        <w:rPr>
          <w:rFonts w:ascii="Arial" w:hAnsi="Arial" w:cs="Arial"/>
          <w:sz w:val="24"/>
          <w:szCs w:val="24"/>
        </w:rPr>
        <w:t xml:space="preserve"> </w:t>
      </w:r>
      <w:r w:rsidR="00D36627" w:rsidRPr="00AF652D">
        <w:rPr>
          <w:rFonts w:ascii="Arial" w:hAnsi="Arial" w:cs="Arial"/>
          <w:sz w:val="24"/>
          <w:szCs w:val="24"/>
        </w:rPr>
        <w:t>Besides, the rules on</w:t>
      </w:r>
      <w:r w:rsidR="00AF652D">
        <w:rPr>
          <w:rFonts w:ascii="Arial" w:hAnsi="Arial" w:cs="Arial"/>
          <w:sz w:val="24"/>
          <w:szCs w:val="24"/>
        </w:rPr>
        <w:t xml:space="preserve"> </w:t>
      </w:r>
      <w:r w:rsidR="00D36627" w:rsidRPr="00AF652D">
        <w:rPr>
          <w:rFonts w:ascii="Arial" w:hAnsi="Arial" w:cs="Arial"/>
          <w:sz w:val="24"/>
          <w:szCs w:val="24"/>
        </w:rPr>
        <w:t xml:space="preserve">the protection of workers under labour law do not apply </w:t>
      </w:r>
      <w:r w:rsidR="00044FEF" w:rsidRPr="00AF652D">
        <w:rPr>
          <w:rFonts w:ascii="Arial" w:hAnsi="Arial" w:cs="Arial"/>
          <w:sz w:val="24"/>
          <w:szCs w:val="24"/>
        </w:rPr>
        <w:t>to the WR.</w:t>
      </w:r>
      <w:r w:rsidR="00821182" w:rsidRPr="00AF652D">
        <w:rPr>
          <w:rStyle w:val="FootnoteReference"/>
          <w:rFonts w:ascii="Arial" w:hAnsi="Arial" w:cs="Arial"/>
          <w:sz w:val="24"/>
          <w:szCs w:val="24"/>
        </w:rPr>
        <w:footnoteReference w:id="85"/>
      </w:r>
    </w:p>
    <w:p w:rsidR="00073F21" w:rsidRPr="00AF652D" w:rsidRDefault="00073F21" w:rsidP="00AB2326">
      <w:pPr>
        <w:tabs>
          <w:tab w:val="left" w:pos="2694"/>
        </w:tabs>
        <w:spacing w:after="0" w:line="240" w:lineRule="auto"/>
        <w:jc w:val="both"/>
        <w:rPr>
          <w:rFonts w:ascii="Arial" w:hAnsi="Arial" w:cs="Arial"/>
          <w:sz w:val="24"/>
          <w:szCs w:val="24"/>
        </w:rPr>
      </w:pPr>
    </w:p>
    <w:p w:rsidR="00044FEF" w:rsidRPr="00AF652D" w:rsidRDefault="00044FEF"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 xml:space="preserve">Eligibility for either DPE or WR is established </w:t>
      </w:r>
      <w:r w:rsidR="00A04CEE" w:rsidRPr="00AF652D">
        <w:rPr>
          <w:rFonts w:ascii="Arial" w:hAnsi="Arial" w:cs="Arial"/>
          <w:sz w:val="24"/>
          <w:szCs w:val="24"/>
        </w:rPr>
        <w:t xml:space="preserve">by </w:t>
      </w:r>
      <w:r w:rsidR="001547A7" w:rsidRPr="00AF652D">
        <w:rPr>
          <w:rFonts w:ascii="Arial" w:hAnsi="Arial" w:cs="Arial"/>
          <w:sz w:val="24"/>
          <w:szCs w:val="24"/>
        </w:rPr>
        <w:t>the</w:t>
      </w:r>
      <w:r w:rsidR="00AF652D">
        <w:rPr>
          <w:rFonts w:ascii="Arial" w:hAnsi="Arial" w:cs="Arial"/>
          <w:sz w:val="24"/>
          <w:szCs w:val="24"/>
        </w:rPr>
        <w:t xml:space="preserve"> </w:t>
      </w:r>
      <w:r w:rsidR="004E353A" w:rsidRPr="00AF652D">
        <w:rPr>
          <w:rFonts w:ascii="Arial" w:hAnsi="Arial" w:cs="Arial"/>
          <w:sz w:val="24"/>
          <w:szCs w:val="24"/>
        </w:rPr>
        <w:t xml:space="preserve">official </w:t>
      </w:r>
      <w:r w:rsidR="00A04CEE" w:rsidRPr="00AF652D">
        <w:rPr>
          <w:rFonts w:ascii="Arial" w:hAnsi="Arial" w:cs="Arial"/>
          <w:sz w:val="24"/>
          <w:szCs w:val="24"/>
        </w:rPr>
        <w:t xml:space="preserve">expertise </w:t>
      </w:r>
      <w:r w:rsidR="004404C8" w:rsidRPr="00AF652D">
        <w:rPr>
          <w:rFonts w:ascii="Arial" w:hAnsi="Arial" w:cs="Arial"/>
          <w:sz w:val="24"/>
          <w:szCs w:val="24"/>
        </w:rPr>
        <w:t>of the health condition and working ability of the employee.</w:t>
      </w:r>
      <w:r w:rsidR="00821182" w:rsidRPr="00AF652D">
        <w:rPr>
          <w:rStyle w:val="FootnoteReference"/>
          <w:rFonts w:ascii="Arial" w:hAnsi="Arial" w:cs="Arial"/>
          <w:sz w:val="24"/>
          <w:szCs w:val="24"/>
        </w:rPr>
        <w:footnoteReference w:id="86"/>
      </w:r>
    </w:p>
    <w:p w:rsidR="004E353A" w:rsidRPr="00AF652D" w:rsidRDefault="004E353A" w:rsidP="00AB2326">
      <w:pPr>
        <w:tabs>
          <w:tab w:val="left" w:pos="2694"/>
        </w:tabs>
        <w:spacing w:after="0" w:line="240" w:lineRule="auto"/>
        <w:jc w:val="both"/>
        <w:rPr>
          <w:rFonts w:ascii="Arial" w:hAnsi="Arial" w:cs="Arial"/>
          <w:sz w:val="24"/>
          <w:szCs w:val="24"/>
        </w:rPr>
      </w:pPr>
    </w:p>
    <w:p w:rsidR="00F01F71" w:rsidRPr="00AF652D" w:rsidRDefault="006E2C60"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The structure of social employment is expectably going to be amended from 1 April 2017.</w:t>
      </w:r>
      <w:r w:rsidR="0088537D" w:rsidRPr="00AF652D">
        <w:rPr>
          <w:rStyle w:val="FootnoteReference"/>
          <w:rFonts w:ascii="Arial" w:hAnsi="Arial" w:cs="Arial"/>
          <w:sz w:val="24"/>
          <w:szCs w:val="24"/>
        </w:rPr>
        <w:footnoteReference w:id="87"/>
      </w:r>
      <w:r w:rsidRPr="00AF652D">
        <w:rPr>
          <w:rFonts w:ascii="Arial" w:hAnsi="Arial" w:cs="Arial"/>
          <w:sz w:val="24"/>
          <w:szCs w:val="24"/>
        </w:rPr>
        <w:t xml:space="preserve"> The </w:t>
      </w:r>
      <w:r w:rsidR="004C208F" w:rsidRPr="00AF652D">
        <w:rPr>
          <w:rFonts w:ascii="Arial" w:hAnsi="Arial" w:cs="Arial"/>
          <w:sz w:val="24"/>
          <w:szCs w:val="24"/>
        </w:rPr>
        <w:t>denomination of „social employment” will be replaced by „developing employment”</w:t>
      </w:r>
      <w:r w:rsidR="00D36211" w:rsidRPr="00AF652D">
        <w:rPr>
          <w:rFonts w:ascii="Arial" w:hAnsi="Arial" w:cs="Arial"/>
          <w:sz w:val="24"/>
          <w:szCs w:val="24"/>
        </w:rPr>
        <w:t xml:space="preserve"> (hereinafter: DE)</w:t>
      </w:r>
      <w:r w:rsidR="004C208F" w:rsidRPr="00AF652D">
        <w:rPr>
          <w:rFonts w:ascii="Arial" w:hAnsi="Arial" w:cs="Arial"/>
          <w:sz w:val="24"/>
          <w:szCs w:val="24"/>
        </w:rPr>
        <w:t xml:space="preserve">. The most important new feature of the new model is that </w:t>
      </w:r>
      <w:r w:rsidR="00953DBE" w:rsidRPr="00AF652D">
        <w:rPr>
          <w:rFonts w:ascii="Arial" w:hAnsi="Arial" w:cs="Arial"/>
          <w:sz w:val="24"/>
          <w:szCs w:val="24"/>
        </w:rPr>
        <w:t xml:space="preserve">the inhabitant status is no more required to the participation in </w:t>
      </w:r>
      <w:r w:rsidR="00D36211" w:rsidRPr="00AF652D">
        <w:rPr>
          <w:rFonts w:ascii="Arial" w:hAnsi="Arial" w:cs="Arial"/>
          <w:sz w:val="24"/>
          <w:szCs w:val="24"/>
        </w:rPr>
        <w:t>DE</w:t>
      </w:r>
      <w:r w:rsidR="00953DBE" w:rsidRPr="00AF652D">
        <w:rPr>
          <w:rFonts w:ascii="Arial" w:hAnsi="Arial" w:cs="Arial"/>
          <w:sz w:val="24"/>
          <w:szCs w:val="24"/>
        </w:rPr>
        <w:t xml:space="preserve">. </w:t>
      </w:r>
      <w:r w:rsidR="00D36211" w:rsidRPr="00AF652D">
        <w:rPr>
          <w:rFonts w:ascii="Arial" w:hAnsi="Arial" w:cs="Arial"/>
          <w:sz w:val="24"/>
          <w:szCs w:val="24"/>
        </w:rPr>
        <w:t xml:space="preserve">DE </w:t>
      </w:r>
      <w:r w:rsidR="00F01F71" w:rsidRPr="00AF652D">
        <w:rPr>
          <w:rFonts w:ascii="Arial" w:hAnsi="Arial" w:cs="Arial"/>
          <w:sz w:val="24"/>
          <w:szCs w:val="24"/>
        </w:rPr>
        <w:t>is considered as a „social service” that can be provided by a wide range of social service providers.</w:t>
      </w:r>
      <w:r w:rsidR="00FA4964" w:rsidRPr="00AF652D">
        <w:rPr>
          <w:rFonts w:ascii="Arial" w:hAnsi="Arial" w:cs="Arial"/>
          <w:sz w:val="24"/>
          <w:szCs w:val="24"/>
        </w:rPr>
        <w:t xml:space="preserve"> The two types </w:t>
      </w:r>
      <w:r w:rsidR="002122AE" w:rsidRPr="00AF652D">
        <w:rPr>
          <w:rFonts w:ascii="Arial" w:hAnsi="Arial" w:cs="Arial"/>
          <w:sz w:val="24"/>
          <w:szCs w:val="24"/>
        </w:rPr>
        <w:t xml:space="preserve">of </w:t>
      </w:r>
      <w:r w:rsidR="00D36211" w:rsidRPr="00AF652D">
        <w:rPr>
          <w:rFonts w:ascii="Arial" w:hAnsi="Arial" w:cs="Arial"/>
          <w:sz w:val="24"/>
          <w:szCs w:val="24"/>
        </w:rPr>
        <w:t>DE</w:t>
      </w:r>
      <w:r w:rsidR="002122AE" w:rsidRPr="00AF652D">
        <w:rPr>
          <w:rFonts w:ascii="Arial" w:hAnsi="Arial" w:cs="Arial"/>
          <w:sz w:val="24"/>
          <w:szCs w:val="24"/>
        </w:rPr>
        <w:t xml:space="preserve"> and their characteristics </w:t>
      </w:r>
      <w:r w:rsidR="00FA4964" w:rsidRPr="00AF652D">
        <w:rPr>
          <w:rFonts w:ascii="Arial" w:hAnsi="Arial" w:cs="Arial"/>
          <w:sz w:val="24"/>
          <w:szCs w:val="24"/>
        </w:rPr>
        <w:t xml:space="preserve">are substantially very similar to </w:t>
      </w:r>
      <w:r w:rsidR="002122AE" w:rsidRPr="00AF652D">
        <w:rPr>
          <w:rFonts w:ascii="Arial" w:hAnsi="Arial" w:cs="Arial"/>
          <w:sz w:val="24"/>
          <w:szCs w:val="24"/>
        </w:rPr>
        <w:t xml:space="preserve">the previous types (DPE and WR). </w:t>
      </w:r>
    </w:p>
    <w:p w:rsidR="00A80947" w:rsidRPr="00AF652D" w:rsidRDefault="00A80947" w:rsidP="00AB2326">
      <w:pPr>
        <w:spacing w:after="0" w:line="240" w:lineRule="auto"/>
        <w:rPr>
          <w:rFonts w:ascii="Arial" w:hAnsi="Arial" w:cs="Arial"/>
          <w:sz w:val="24"/>
          <w:szCs w:val="24"/>
        </w:rPr>
      </w:pPr>
      <w:r w:rsidRPr="00AF652D">
        <w:rPr>
          <w:rFonts w:ascii="Arial" w:hAnsi="Arial" w:cs="Arial"/>
          <w:sz w:val="24"/>
          <w:szCs w:val="24"/>
        </w:rPr>
        <w:br w:type="page"/>
      </w:r>
    </w:p>
    <w:p w:rsidR="00020C3C" w:rsidRPr="00AF652D" w:rsidRDefault="00020C3C" w:rsidP="00AB2326">
      <w:pPr>
        <w:pStyle w:val="Heading1"/>
        <w:rPr>
          <w:szCs w:val="24"/>
        </w:rPr>
      </w:pPr>
      <w:bookmarkStart w:id="3" w:name="_Toc500858521"/>
      <w:r w:rsidRPr="00AF652D">
        <w:rPr>
          <w:szCs w:val="24"/>
        </w:rPr>
        <w:lastRenderedPageBreak/>
        <w:t>Benefit caps and transitions</w:t>
      </w:r>
      <w:bookmarkEnd w:id="3"/>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Recent law and policy reforms</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ED2950" w:rsidP="00AB2326">
      <w:pPr>
        <w:tabs>
          <w:tab w:val="left" w:pos="2694"/>
        </w:tabs>
        <w:spacing w:after="0" w:line="240" w:lineRule="auto"/>
        <w:jc w:val="both"/>
        <w:rPr>
          <w:rFonts w:ascii="Arial" w:hAnsi="Arial" w:cs="Arial"/>
          <w:bCs/>
          <w:i/>
          <w:sz w:val="24"/>
          <w:szCs w:val="24"/>
        </w:rPr>
      </w:pPr>
      <w:r w:rsidRPr="00AF652D">
        <w:rPr>
          <w:rFonts w:ascii="Arial" w:hAnsi="Arial" w:cs="Arial"/>
          <w:bCs/>
          <w:i/>
          <w:sz w:val="24"/>
          <w:szCs w:val="24"/>
        </w:rPr>
        <w:t>How has the legal and policy framework changed for disability benefits for people of working age since the onset of the economic crisis. H</w:t>
      </w:r>
      <w:r w:rsidRPr="00AF652D">
        <w:rPr>
          <w:rFonts w:ascii="Arial" w:hAnsi="Arial" w:cs="Arial"/>
          <w:i/>
          <w:sz w:val="24"/>
          <w:szCs w:val="24"/>
        </w:rPr>
        <w:t>ave there been changes in the eligibility criteria (making them more difficult to claim or easier to claim)</w:t>
      </w:r>
      <w:r w:rsidRPr="00AF652D">
        <w:rPr>
          <w:rFonts w:ascii="Arial" w:hAnsi="Arial" w:cs="Arial"/>
          <w:bCs/>
          <w:i/>
          <w:sz w:val="24"/>
          <w:szCs w:val="24"/>
        </w:rPr>
        <w:t>? This question relates to pillar theme 16.</w:t>
      </w:r>
    </w:p>
    <w:p w:rsidR="00F416F9" w:rsidRPr="00AF652D" w:rsidRDefault="00F416F9" w:rsidP="00AB2326">
      <w:pPr>
        <w:tabs>
          <w:tab w:val="left" w:pos="2694"/>
        </w:tabs>
        <w:spacing w:after="0" w:line="240" w:lineRule="auto"/>
        <w:jc w:val="both"/>
        <w:rPr>
          <w:rFonts w:ascii="Arial" w:hAnsi="Arial" w:cs="Arial"/>
          <w:bCs/>
          <w:sz w:val="24"/>
          <w:szCs w:val="24"/>
        </w:rPr>
      </w:pPr>
    </w:p>
    <w:p w:rsidR="0023168B" w:rsidRPr="00AF652D" w:rsidRDefault="00DD52AA"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The most significant reform concerning disability benefits has been indicated above at</w:t>
      </w:r>
      <w:r w:rsidR="00BA4AA4" w:rsidRPr="00AF652D">
        <w:rPr>
          <w:rFonts w:ascii="Arial" w:hAnsi="Arial" w:cs="Arial"/>
          <w:sz w:val="24"/>
          <w:szCs w:val="24"/>
        </w:rPr>
        <w:t xml:space="preserve"> section 2.1. a). </w:t>
      </w:r>
      <w:r w:rsidR="00786A6E" w:rsidRPr="00AF652D">
        <w:rPr>
          <w:rFonts w:ascii="Arial" w:hAnsi="Arial" w:cs="Arial"/>
          <w:sz w:val="24"/>
          <w:szCs w:val="24"/>
        </w:rPr>
        <w:t xml:space="preserve">Invalidity pension have been replaced by benefits of persons with reduced working abilities, such as rehabilitation allowance and invalidity allowance. </w:t>
      </w:r>
      <w:r w:rsidR="00F61E65" w:rsidRPr="00AF652D">
        <w:rPr>
          <w:rFonts w:ascii="Arial" w:hAnsi="Arial" w:cs="Arial"/>
          <w:sz w:val="24"/>
          <w:szCs w:val="24"/>
        </w:rPr>
        <w:t>Previously, for many decades the i</w:t>
      </w:r>
      <w:r w:rsidR="00D14BDC" w:rsidRPr="00AF652D">
        <w:rPr>
          <w:rFonts w:ascii="Arial" w:hAnsi="Arial" w:cs="Arial"/>
          <w:sz w:val="24"/>
          <w:szCs w:val="24"/>
        </w:rPr>
        <w:t xml:space="preserve">nvalidity pension had been the most important passive benefit for </w:t>
      </w:r>
      <w:r w:rsidR="00F047F8" w:rsidRPr="00AF652D">
        <w:rPr>
          <w:rFonts w:ascii="Arial" w:hAnsi="Arial" w:cs="Arial"/>
          <w:sz w:val="24"/>
          <w:szCs w:val="24"/>
        </w:rPr>
        <w:t>persons with disabilities.</w:t>
      </w:r>
      <w:r w:rsidR="00D14BDC" w:rsidRPr="00AF652D">
        <w:rPr>
          <w:rFonts w:ascii="Arial" w:hAnsi="Arial" w:cs="Arial"/>
          <w:sz w:val="24"/>
          <w:szCs w:val="24"/>
        </w:rPr>
        <w:t xml:space="preserve"> As a retirement benefit </w:t>
      </w:r>
      <w:r w:rsidR="00DF5FD0" w:rsidRPr="00AF652D">
        <w:rPr>
          <w:rFonts w:ascii="Arial" w:hAnsi="Arial" w:cs="Arial"/>
          <w:sz w:val="24"/>
          <w:szCs w:val="24"/>
        </w:rPr>
        <w:t xml:space="preserve">it </w:t>
      </w:r>
      <w:r w:rsidR="000F12AF" w:rsidRPr="00AF652D">
        <w:rPr>
          <w:rFonts w:ascii="Arial" w:hAnsi="Arial" w:cs="Arial"/>
          <w:sz w:val="24"/>
          <w:szCs w:val="24"/>
        </w:rPr>
        <w:t xml:space="preserve">had been </w:t>
      </w:r>
      <w:r w:rsidR="00DF5FD0" w:rsidRPr="00AF652D">
        <w:rPr>
          <w:rFonts w:ascii="Arial" w:hAnsi="Arial" w:cs="Arial"/>
          <w:sz w:val="24"/>
          <w:szCs w:val="24"/>
        </w:rPr>
        <w:t>a permanent</w:t>
      </w:r>
      <w:r w:rsidR="00B14D90" w:rsidRPr="00AF652D">
        <w:rPr>
          <w:rFonts w:ascii="Arial" w:hAnsi="Arial" w:cs="Arial"/>
          <w:sz w:val="24"/>
          <w:szCs w:val="24"/>
        </w:rPr>
        <w:t>, lifelong receivable</w:t>
      </w:r>
      <w:r w:rsidR="00DF5FD0" w:rsidRPr="00AF652D">
        <w:rPr>
          <w:rFonts w:ascii="Arial" w:hAnsi="Arial" w:cs="Arial"/>
          <w:sz w:val="24"/>
          <w:szCs w:val="24"/>
        </w:rPr>
        <w:t xml:space="preserve"> income</w:t>
      </w:r>
      <w:r w:rsidR="000F12AF" w:rsidRPr="00AF652D">
        <w:rPr>
          <w:rFonts w:ascii="Arial" w:hAnsi="Arial" w:cs="Arial"/>
          <w:sz w:val="24"/>
          <w:szCs w:val="24"/>
        </w:rPr>
        <w:t xml:space="preserve">. </w:t>
      </w:r>
      <w:r w:rsidR="00CE563F" w:rsidRPr="00AF652D">
        <w:rPr>
          <w:rFonts w:ascii="Arial" w:hAnsi="Arial" w:cs="Arial"/>
          <w:sz w:val="24"/>
          <w:szCs w:val="24"/>
        </w:rPr>
        <w:t>Earning act</w:t>
      </w:r>
      <w:r w:rsidR="00BC3A33" w:rsidRPr="00AF652D">
        <w:rPr>
          <w:rFonts w:ascii="Arial" w:hAnsi="Arial" w:cs="Arial"/>
          <w:sz w:val="24"/>
          <w:szCs w:val="24"/>
        </w:rPr>
        <w:t xml:space="preserve">ivity above a specific income </w:t>
      </w:r>
      <w:r w:rsidR="00AF652D" w:rsidRPr="00AF652D">
        <w:rPr>
          <w:rFonts w:ascii="Arial" w:hAnsi="Arial" w:cs="Arial"/>
          <w:sz w:val="24"/>
          <w:szCs w:val="24"/>
        </w:rPr>
        <w:t>threshold</w:t>
      </w:r>
      <w:r w:rsidR="00CE563F" w:rsidRPr="00AF652D">
        <w:rPr>
          <w:rFonts w:ascii="Arial" w:hAnsi="Arial" w:cs="Arial"/>
          <w:sz w:val="24"/>
          <w:szCs w:val="24"/>
        </w:rPr>
        <w:t xml:space="preserve"> excluded the eligibility for invalidity pension, so this benefit </w:t>
      </w:r>
      <w:r w:rsidR="0023168B" w:rsidRPr="00AF652D">
        <w:rPr>
          <w:rFonts w:ascii="Arial" w:hAnsi="Arial" w:cs="Arial"/>
          <w:sz w:val="24"/>
          <w:szCs w:val="24"/>
        </w:rPr>
        <w:t xml:space="preserve">had functioned </w:t>
      </w:r>
      <w:r w:rsidR="003C1105" w:rsidRPr="00AF652D">
        <w:rPr>
          <w:rFonts w:ascii="Arial" w:hAnsi="Arial" w:cs="Arial"/>
          <w:sz w:val="24"/>
          <w:szCs w:val="24"/>
        </w:rPr>
        <w:t>a</w:t>
      </w:r>
      <w:r w:rsidR="0023168B" w:rsidRPr="00AF652D">
        <w:rPr>
          <w:rFonts w:ascii="Arial" w:hAnsi="Arial" w:cs="Arial"/>
          <w:sz w:val="24"/>
          <w:szCs w:val="24"/>
        </w:rPr>
        <w:t>s a</w:t>
      </w:r>
      <w:r w:rsidR="003C1105" w:rsidRPr="00AF652D">
        <w:rPr>
          <w:rFonts w:ascii="Arial" w:hAnsi="Arial" w:cs="Arial"/>
          <w:sz w:val="24"/>
          <w:szCs w:val="24"/>
        </w:rPr>
        <w:t xml:space="preserve"> disincentive </w:t>
      </w:r>
      <w:r w:rsidR="0023168B" w:rsidRPr="00AF652D">
        <w:rPr>
          <w:rFonts w:ascii="Arial" w:hAnsi="Arial" w:cs="Arial"/>
          <w:sz w:val="24"/>
          <w:szCs w:val="24"/>
        </w:rPr>
        <w:t>in terms of returning to the labour market.</w:t>
      </w:r>
      <w:r w:rsidR="0074562F" w:rsidRPr="00AF652D">
        <w:rPr>
          <w:rStyle w:val="FootnoteReference"/>
          <w:rFonts w:ascii="Arial" w:hAnsi="Arial" w:cs="Arial"/>
          <w:sz w:val="24"/>
          <w:szCs w:val="24"/>
        </w:rPr>
        <w:footnoteReference w:id="88"/>
      </w:r>
    </w:p>
    <w:p w:rsidR="008E666D" w:rsidRPr="00AF652D" w:rsidRDefault="008E666D" w:rsidP="00AB2326">
      <w:pPr>
        <w:tabs>
          <w:tab w:val="left" w:pos="2694"/>
        </w:tabs>
        <w:spacing w:after="0" w:line="240" w:lineRule="auto"/>
        <w:jc w:val="both"/>
        <w:rPr>
          <w:rFonts w:ascii="Arial" w:hAnsi="Arial" w:cs="Arial"/>
          <w:sz w:val="24"/>
          <w:szCs w:val="24"/>
        </w:rPr>
      </w:pPr>
    </w:p>
    <w:p w:rsidR="00573E8C" w:rsidRPr="00AF652D" w:rsidRDefault="00D107F5"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The main principle of the new </w:t>
      </w:r>
      <w:r w:rsidR="003E7243" w:rsidRPr="00AF652D">
        <w:rPr>
          <w:rFonts w:ascii="Arial" w:hAnsi="Arial" w:cs="Arial"/>
          <w:sz w:val="24"/>
          <w:szCs w:val="24"/>
        </w:rPr>
        <w:t>model was that all persons with disabilities</w:t>
      </w:r>
      <w:r w:rsidR="00BC3A33" w:rsidRPr="00AF652D">
        <w:rPr>
          <w:rFonts w:ascii="Arial" w:hAnsi="Arial" w:cs="Arial"/>
          <w:sz w:val="24"/>
          <w:szCs w:val="24"/>
        </w:rPr>
        <w:t xml:space="preserve">, who </w:t>
      </w:r>
      <w:proofErr w:type="gramStart"/>
      <w:r w:rsidR="00BC3A33" w:rsidRPr="00AF652D">
        <w:rPr>
          <w:rFonts w:ascii="Arial" w:hAnsi="Arial" w:cs="Arial"/>
          <w:sz w:val="24"/>
          <w:szCs w:val="24"/>
        </w:rPr>
        <w:t>is able to</w:t>
      </w:r>
      <w:proofErr w:type="gramEnd"/>
      <w:r w:rsidR="00BC3A33" w:rsidRPr="00AF652D">
        <w:rPr>
          <w:rFonts w:ascii="Arial" w:hAnsi="Arial" w:cs="Arial"/>
          <w:sz w:val="24"/>
          <w:szCs w:val="24"/>
        </w:rPr>
        <w:t xml:space="preserve"> work or whose working ability can be rehabilitated, are expected to work</w:t>
      </w:r>
      <w:r w:rsidR="00350307" w:rsidRPr="00AF652D">
        <w:rPr>
          <w:rFonts w:ascii="Arial" w:hAnsi="Arial" w:cs="Arial"/>
          <w:sz w:val="24"/>
          <w:szCs w:val="24"/>
        </w:rPr>
        <w:t>.</w:t>
      </w:r>
      <w:r w:rsidR="000820D8" w:rsidRPr="00AF652D">
        <w:rPr>
          <w:rFonts w:ascii="Arial" w:hAnsi="Arial" w:cs="Arial"/>
          <w:sz w:val="24"/>
          <w:szCs w:val="24"/>
        </w:rPr>
        <w:t xml:space="preserve"> These persons</w:t>
      </w:r>
      <w:r w:rsidR="00253337" w:rsidRPr="00AF652D">
        <w:rPr>
          <w:rFonts w:ascii="Arial" w:hAnsi="Arial" w:cs="Arial"/>
          <w:sz w:val="24"/>
          <w:szCs w:val="24"/>
        </w:rPr>
        <w:t xml:space="preserve"> may be eligible for rehabilitation allowance, which provides them</w:t>
      </w:r>
      <w:r w:rsidR="00AE420E" w:rsidRPr="00AF652D">
        <w:rPr>
          <w:rFonts w:ascii="Arial" w:hAnsi="Arial" w:cs="Arial"/>
          <w:sz w:val="24"/>
          <w:szCs w:val="24"/>
        </w:rPr>
        <w:t xml:space="preserve"> </w:t>
      </w:r>
      <w:r w:rsidR="00707787" w:rsidRPr="00AF652D">
        <w:rPr>
          <w:rFonts w:ascii="Arial" w:hAnsi="Arial" w:cs="Arial"/>
          <w:sz w:val="24"/>
          <w:szCs w:val="24"/>
        </w:rPr>
        <w:t xml:space="preserve">a </w:t>
      </w:r>
      <w:r w:rsidR="009B0A3C" w:rsidRPr="00AF652D">
        <w:rPr>
          <w:rFonts w:ascii="Arial" w:hAnsi="Arial" w:cs="Arial"/>
          <w:sz w:val="24"/>
          <w:szCs w:val="24"/>
        </w:rPr>
        <w:t>cash ben</w:t>
      </w:r>
      <w:r w:rsidR="00253337" w:rsidRPr="00AF652D">
        <w:rPr>
          <w:rFonts w:ascii="Arial" w:hAnsi="Arial" w:cs="Arial"/>
          <w:sz w:val="24"/>
          <w:szCs w:val="24"/>
        </w:rPr>
        <w:t>efit</w:t>
      </w:r>
      <w:r w:rsidR="00AE420E" w:rsidRPr="00AF652D">
        <w:rPr>
          <w:rFonts w:ascii="Arial" w:hAnsi="Arial" w:cs="Arial"/>
          <w:sz w:val="24"/>
          <w:szCs w:val="24"/>
        </w:rPr>
        <w:t xml:space="preserve"> </w:t>
      </w:r>
      <w:r w:rsidR="00707787" w:rsidRPr="00AF652D">
        <w:rPr>
          <w:rFonts w:ascii="Arial" w:hAnsi="Arial" w:cs="Arial"/>
          <w:sz w:val="24"/>
          <w:szCs w:val="24"/>
        </w:rPr>
        <w:t>combined with benefits in kind (rehabilitation services)</w:t>
      </w:r>
      <w:r w:rsidR="00B7563C" w:rsidRPr="00AF652D">
        <w:rPr>
          <w:rFonts w:ascii="Arial" w:hAnsi="Arial" w:cs="Arial"/>
          <w:sz w:val="24"/>
          <w:szCs w:val="24"/>
        </w:rPr>
        <w:t>.</w:t>
      </w:r>
      <w:r w:rsidR="00AE420E" w:rsidRPr="00AF652D">
        <w:rPr>
          <w:rFonts w:ascii="Arial" w:hAnsi="Arial" w:cs="Arial"/>
          <w:sz w:val="24"/>
          <w:szCs w:val="24"/>
        </w:rPr>
        <w:t xml:space="preserve"> </w:t>
      </w:r>
      <w:r w:rsidR="00B7563C" w:rsidRPr="00AF652D">
        <w:rPr>
          <w:rFonts w:ascii="Arial" w:hAnsi="Arial" w:cs="Arial"/>
          <w:sz w:val="24"/>
          <w:szCs w:val="24"/>
        </w:rPr>
        <w:t>T</w:t>
      </w:r>
      <w:r w:rsidR="00707787" w:rsidRPr="00AF652D">
        <w:rPr>
          <w:rFonts w:ascii="Arial" w:hAnsi="Arial" w:cs="Arial"/>
          <w:sz w:val="24"/>
          <w:szCs w:val="24"/>
        </w:rPr>
        <w:t xml:space="preserve">he </w:t>
      </w:r>
      <w:r w:rsidR="00B7563C" w:rsidRPr="00AF652D">
        <w:rPr>
          <w:rFonts w:ascii="Arial" w:hAnsi="Arial" w:cs="Arial"/>
          <w:sz w:val="24"/>
          <w:szCs w:val="24"/>
        </w:rPr>
        <w:t>client is supposed to cooperate with the rehabilitation authority by actual using of these services</w:t>
      </w:r>
      <w:r w:rsidR="000A43B4" w:rsidRPr="00AF652D">
        <w:rPr>
          <w:rFonts w:ascii="Arial" w:hAnsi="Arial" w:cs="Arial"/>
          <w:sz w:val="24"/>
          <w:szCs w:val="24"/>
        </w:rPr>
        <w:t>. A</w:t>
      </w:r>
      <w:r w:rsidR="00350307" w:rsidRPr="00AF652D">
        <w:rPr>
          <w:rFonts w:ascii="Arial" w:hAnsi="Arial" w:cs="Arial"/>
          <w:sz w:val="24"/>
          <w:szCs w:val="24"/>
        </w:rPr>
        <w:t xml:space="preserve"> passive benefit (invalidity allowance)</w:t>
      </w:r>
      <w:r w:rsidR="000A43B4" w:rsidRPr="00AF652D">
        <w:rPr>
          <w:rFonts w:ascii="Arial" w:hAnsi="Arial" w:cs="Arial"/>
          <w:sz w:val="24"/>
          <w:szCs w:val="24"/>
        </w:rPr>
        <w:t xml:space="preserve"> is only guaranteed for those ones whose rehabilitation is </w:t>
      </w:r>
      <w:r w:rsidR="0081501A" w:rsidRPr="00AF652D">
        <w:rPr>
          <w:rFonts w:ascii="Arial" w:hAnsi="Arial" w:cs="Arial"/>
          <w:sz w:val="24"/>
          <w:szCs w:val="24"/>
        </w:rPr>
        <w:t>impossible. Invalidity allowance is no retirement benefit, because the eligibility criteria are regularly revised, and the principle of protection of acquired rights shall not apply.</w:t>
      </w:r>
    </w:p>
    <w:p w:rsidR="00D107F5" w:rsidRPr="00AF652D" w:rsidRDefault="00D107F5" w:rsidP="00AB2326">
      <w:pPr>
        <w:tabs>
          <w:tab w:val="left" w:pos="2694"/>
        </w:tabs>
        <w:spacing w:after="0" w:line="240" w:lineRule="auto"/>
        <w:jc w:val="both"/>
        <w:rPr>
          <w:rFonts w:ascii="Arial" w:hAnsi="Arial" w:cs="Arial"/>
          <w:sz w:val="24"/>
          <w:szCs w:val="24"/>
        </w:rPr>
      </w:pPr>
    </w:p>
    <w:p w:rsidR="00020C3C" w:rsidRPr="00AF652D" w:rsidRDefault="0081501A"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Another </w:t>
      </w:r>
      <w:r w:rsidR="002F7A7E" w:rsidRPr="00AF652D">
        <w:rPr>
          <w:rFonts w:ascii="Arial" w:hAnsi="Arial" w:cs="Arial"/>
          <w:sz w:val="24"/>
          <w:szCs w:val="24"/>
        </w:rPr>
        <w:t xml:space="preserve">important shift in the disability benefit system is that it is increasingly focused on in kind benefits. </w:t>
      </w:r>
      <w:r w:rsidR="00F8490A" w:rsidRPr="00AF652D">
        <w:rPr>
          <w:rFonts w:ascii="Arial" w:hAnsi="Arial" w:cs="Arial"/>
          <w:sz w:val="24"/>
          <w:szCs w:val="24"/>
        </w:rPr>
        <w:t xml:space="preserve">Increased application of in kind benefits </w:t>
      </w:r>
      <w:r w:rsidR="000A02FA" w:rsidRPr="00AF652D">
        <w:rPr>
          <w:rFonts w:ascii="Arial" w:hAnsi="Arial" w:cs="Arial"/>
          <w:sz w:val="24"/>
          <w:szCs w:val="24"/>
        </w:rPr>
        <w:t xml:space="preserve">instead of cash subsidies </w:t>
      </w:r>
      <w:r w:rsidR="00F8490A" w:rsidRPr="00AF652D">
        <w:rPr>
          <w:rFonts w:ascii="Arial" w:hAnsi="Arial" w:cs="Arial"/>
          <w:sz w:val="24"/>
          <w:szCs w:val="24"/>
        </w:rPr>
        <w:t xml:space="preserve">reflects that social policy </w:t>
      </w:r>
      <w:r w:rsidR="00A44877" w:rsidRPr="00AF652D">
        <w:rPr>
          <w:rFonts w:ascii="Arial" w:hAnsi="Arial" w:cs="Arial"/>
          <w:sz w:val="24"/>
          <w:szCs w:val="24"/>
        </w:rPr>
        <w:t xml:space="preserve">intends </w:t>
      </w:r>
      <w:r w:rsidR="000A02FA" w:rsidRPr="00AF652D">
        <w:rPr>
          <w:rFonts w:ascii="Arial" w:hAnsi="Arial" w:cs="Arial"/>
          <w:sz w:val="24"/>
          <w:szCs w:val="24"/>
        </w:rPr>
        <w:t xml:space="preserve">to </w:t>
      </w:r>
      <w:r w:rsidR="00A44877" w:rsidRPr="00AF652D">
        <w:rPr>
          <w:rFonts w:ascii="Arial" w:hAnsi="Arial" w:cs="Arial"/>
          <w:sz w:val="24"/>
          <w:szCs w:val="24"/>
        </w:rPr>
        <w:t xml:space="preserve">restrict the autonomy of choice of the recipients in terms of </w:t>
      </w:r>
      <w:r w:rsidR="000A02FA" w:rsidRPr="00AF652D">
        <w:rPr>
          <w:rFonts w:ascii="Arial" w:hAnsi="Arial" w:cs="Arial"/>
          <w:sz w:val="24"/>
          <w:szCs w:val="24"/>
        </w:rPr>
        <w:t>t</w:t>
      </w:r>
      <w:r w:rsidR="00793125" w:rsidRPr="00AF652D">
        <w:rPr>
          <w:rFonts w:ascii="Arial" w:hAnsi="Arial" w:cs="Arial"/>
          <w:sz w:val="24"/>
          <w:szCs w:val="24"/>
        </w:rPr>
        <w:t>h</w:t>
      </w:r>
      <w:r w:rsidR="000A02FA" w:rsidRPr="00AF652D">
        <w:rPr>
          <w:rFonts w:ascii="Arial" w:hAnsi="Arial" w:cs="Arial"/>
          <w:sz w:val="24"/>
          <w:szCs w:val="24"/>
        </w:rPr>
        <w:t>e use of the benefit</w:t>
      </w:r>
      <w:r w:rsidR="008B177C" w:rsidRPr="00AF652D">
        <w:rPr>
          <w:rFonts w:ascii="Arial" w:hAnsi="Arial" w:cs="Arial"/>
          <w:sz w:val="24"/>
          <w:szCs w:val="24"/>
        </w:rPr>
        <w:t xml:space="preserve">, </w:t>
      </w:r>
      <w:r w:rsidR="005D0A6A" w:rsidRPr="00AF652D">
        <w:rPr>
          <w:rFonts w:ascii="Arial" w:hAnsi="Arial" w:cs="Arial"/>
          <w:sz w:val="24"/>
          <w:szCs w:val="24"/>
        </w:rPr>
        <w:t>so that it may be used only for the specific purpose to which it is assigned.</w:t>
      </w:r>
      <w:r w:rsidR="00AE420E" w:rsidRPr="00AF652D">
        <w:rPr>
          <w:rFonts w:ascii="Arial" w:hAnsi="Arial" w:cs="Arial"/>
          <w:sz w:val="24"/>
          <w:szCs w:val="24"/>
        </w:rPr>
        <w:t xml:space="preserve"> </w:t>
      </w:r>
      <w:r w:rsidR="002F7A7E" w:rsidRPr="00AF652D">
        <w:rPr>
          <w:rFonts w:ascii="Arial" w:hAnsi="Arial" w:cs="Arial"/>
          <w:sz w:val="24"/>
          <w:szCs w:val="24"/>
        </w:rPr>
        <w:t xml:space="preserve">As described </w:t>
      </w:r>
      <w:r w:rsidR="001A6495" w:rsidRPr="00AF652D">
        <w:rPr>
          <w:rFonts w:ascii="Arial" w:hAnsi="Arial" w:cs="Arial"/>
          <w:sz w:val="24"/>
          <w:szCs w:val="24"/>
        </w:rPr>
        <w:t>in the previous paragraph</w:t>
      </w:r>
      <w:r w:rsidR="002F7A7E" w:rsidRPr="00AF652D">
        <w:rPr>
          <w:rFonts w:ascii="Arial" w:hAnsi="Arial" w:cs="Arial"/>
          <w:sz w:val="24"/>
          <w:szCs w:val="24"/>
        </w:rPr>
        <w:t xml:space="preserve">, in kind benefits play an eminent role at the benefits for </w:t>
      </w:r>
      <w:r w:rsidR="001A6495" w:rsidRPr="00AF652D">
        <w:rPr>
          <w:rFonts w:ascii="Arial" w:hAnsi="Arial" w:cs="Arial"/>
          <w:sz w:val="24"/>
          <w:szCs w:val="24"/>
        </w:rPr>
        <w:t xml:space="preserve">persons with reduced working ability. Some amendments of the SASB Act also resulted that specific </w:t>
      </w:r>
      <w:r w:rsidR="005D0A6A" w:rsidRPr="00AF652D">
        <w:rPr>
          <w:rFonts w:ascii="Arial" w:hAnsi="Arial" w:cs="Arial"/>
          <w:sz w:val="24"/>
          <w:szCs w:val="24"/>
        </w:rPr>
        <w:t xml:space="preserve">social benefits </w:t>
      </w:r>
      <w:r w:rsidR="003D3531" w:rsidRPr="00AF652D">
        <w:rPr>
          <w:rFonts w:ascii="Arial" w:hAnsi="Arial" w:cs="Arial"/>
          <w:sz w:val="24"/>
          <w:szCs w:val="24"/>
        </w:rPr>
        <w:t xml:space="preserve">(e.g. </w:t>
      </w:r>
      <w:r w:rsidR="00DF7873" w:rsidRPr="00AF652D">
        <w:rPr>
          <w:rFonts w:ascii="Arial" w:hAnsi="Arial" w:cs="Arial"/>
          <w:sz w:val="24"/>
          <w:szCs w:val="24"/>
        </w:rPr>
        <w:t xml:space="preserve">free </w:t>
      </w:r>
      <w:r w:rsidR="003D3531" w:rsidRPr="00AF652D">
        <w:rPr>
          <w:rFonts w:ascii="Arial" w:hAnsi="Arial" w:cs="Arial"/>
          <w:sz w:val="24"/>
          <w:szCs w:val="24"/>
        </w:rPr>
        <w:t>medica</w:t>
      </w:r>
      <w:r w:rsidR="00DF7873" w:rsidRPr="00AF652D">
        <w:rPr>
          <w:rFonts w:ascii="Arial" w:hAnsi="Arial" w:cs="Arial"/>
          <w:sz w:val="24"/>
          <w:szCs w:val="24"/>
        </w:rPr>
        <w:t>tion</w:t>
      </w:r>
      <w:r w:rsidR="00AE420E" w:rsidRPr="00AF652D">
        <w:rPr>
          <w:rFonts w:ascii="Arial" w:hAnsi="Arial" w:cs="Arial"/>
          <w:sz w:val="24"/>
          <w:szCs w:val="24"/>
        </w:rPr>
        <w:t xml:space="preserve"> </w:t>
      </w:r>
      <w:r w:rsidR="00DF7873" w:rsidRPr="00AF652D">
        <w:rPr>
          <w:rFonts w:ascii="Arial" w:hAnsi="Arial" w:cs="Arial"/>
          <w:sz w:val="24"/>
          <w:szCs w:val="24"/>
        </w:rPr>
        <w:t>card</w:t>
      </w:r>
      <w:r w:rsidR="003D3531" w:rsidRPr="00AF652D">
        <w:rPr>
          <w:rFonts w:ascii="Arial" w:hAnsi="Arial" w:cs="Arial"/>
          <w:sz w:val="24"/>
          <w:szCs w:val="24"/>
        </w:rPr>
        <w:t xml:space="preserve">) </w:t>
      </w:r>
      <w:r w:rsidR="005D0A6A" w:rsidRPr="00AF652D">
        <w:rPr>
          <w:rFonts w:ascii="Arial" w:hAnsi="Arial" w:cs="Arial"/>
          <w:sz w:val="24"/>
          <w:szCs w:val="24"/>
        </w:rPr>
        <w:t>are provided at least partly in kind.</w:t>
      </w:r>
      <w:r w:rsidR="005D0A6A" w:rsidRPr="00AF652D">
        <w:rPr>
          <w:rStyle w:val="FootnoteReference"/>
          <w:rFonts w:ascii="Arial" w:hAnsi="Arial" w:cs="Arial"/>
          <w:sz w:val="24"/>
          <w:szCs w:val="24"/>
        </w:rPr>
        <w:footnoteReference w:id="89"/>
      </w:r>
    </w:p>
    <w:p w:rsidR="002F7A7E" w:rsidRPr="00AF652D" w:rsidRDefault="002F7A7E"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Key changes in eligibility criteria for disability benefits</w:t>
      </w:r>
    </w:p>
    <w:p w:rsidR="00020C3C" w:rsidRPr="00AF652D" w:rsidRDefault="00020C3C" w:rsidP="00AB2326">
      <w:pPr>
        <w:tabs>
          <w:tab w:val="left" w:pos="2694"/>
        </w:tabs>
        <w:spacing w:after="0" w:line="240" w:lineRule="auto"/>
        <w:rPr>
          <w:rFonts w:ascii="Arial" w:hAnsi="Arial" w:cs="Arial"/>
          <w:sz w:val="24"/>
          <w:szCs w:val="24"/>
        </w:rPr>
      </w:pPr>
    </w:p>
    <w:p w:rsidR="00ED2950"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What major policy reforms or developments have occurred in relation to out-of-work disability benefits, implemented or now proposed? This question relates to pillar theme 14</w:t>
      </w:r>
    </w:p>
    <w:p w:rsidR="00ED2950" w:rsidRPr="00AF652D" w:rsidRDefault="00ED2950" w:rsidP="00AB2326">
      <w:pPr>
        <w:pStyle w:val="ListParagraph"/>
        <w:numPr>
          <w:ilvl w:val="0"/>
          <w:numId w:val="11"/>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Is there evidence of the number of people affected by these changes or the extent of their impact?</w:t>
      </w:r>
    </w:p>
    <w:p w:rsidR="00020C3C" w:rsidRPr="00AF652D" w:rsidRDefault="00020C3C" w:rsidP="00AB2326">
      <w:pPr>
        <w:tabs>
          <w:tab w:val="left" w:pos="2694"/>
        </w:tabs>
        <w:spacing w:after="0" w:line="240" w:lineRule="auto"/>
        <w:rPr>
          <w:rFonts w:ascii="Arial" w:hAnsi="Arial" w:cs="Arial"/>
          <w:sz w:val="24"/>
          <w:szCs w:val="24"/>
        </w:rPr>
      </w:pPr>
    </w:p>
    <w:p w:rsidR="00DF7873" w:rsidRPr="00AF652D" w:rsidRDefault="007E638E" w:rsidP="00AB2326">
      <w:pPr>
        <w:tabs>
          <w:tab w:val="left" w:pos="2694"/>
        </w:tabs>
        <w:spacing w:after="0" w:line="240" w:lineRule="auto"/>
        <w:rPr>
          <w:rFonts w:ascii="Arial" w:hAnsi="Arial" w:cs="Arial"/>
          <w:sz w:val="24"/>
          <w:szCs w:val="24"/>
        </w:rPr>
      </w:pPr>
      <w:r w:rsidRPr="00AF652D">
        <w:rPr>
          <w:rFonts w:ascii="Arial" w:hAnsi="Arial" w:cs="Arial"/>
          <w:sz w:val="24"/>
          <w:szCs w:val="24"/>
        </w:rPr>
        <w:t>Some of t</w:t>
      </w:r>
      <w:r w:rsidR="00DF7873" w:rsidRPr="00AF652D">
        <w:rPr>
          <w:rFonts w:ascii="Arial" w:hAnsi="Arial" w:cs="Arial"/>
          <w:sz w:val="24"/>
          <w:szCs w:val="24"/>
        </w:rPr>
        <w:t xml:space="preserve">he main reforms have been described </w:t>
      </w:r>
      <w:r w:rsidR="008F117C" w:rsidRPr="00AF652D">
        <w:rPr>
          <w:rFonts w:ascii="Arial" w:hAnsi="Arial" w:cs="Arial"/>
          <w:sz w:val="24"/>
          <w:szCs w:val="24"/>
        </w:rPr>
        <w:t xml:space="preserve">at the previous section. </w:t>
      </w:r>
    </w:p>
    <w:p w:rsidR="008F117C" w:rsidRPr="00AF652D" w:rsidRDefault="008F117C" w:rsidP="00AB2326">
      <w:pPr>
        <w:tabs>
          <w:tab w:val="left" w:pos="2694"/>
        </w:tabs>
        <w:spacing w:after="0" w:line="240" w:lineRule="auto"/>
        <w:rPr>
          <w:rFonts w:ascii="Arial" w:hAnsi="Arial" w:cs="Arial"/>
          <w:sz w:val="24"/>
          <w:szCs w:val="24"/>
        </w:rPr>
      </w:pPr>
    </w:p>
    <w:p w:rsidR="007E638E" w:rsidRPr="00AF652D" w:rsidRDefault="007E638E"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Other new developments and the e</w:t>
      </w:r>
      <w:r w:rsidR="008F117C" w:rsidRPr="00AF652D">
        <w:rPr>
          <w:rFonts w:ascii="Arial" w:hAnsi="Arial" w:cs="Arial"/>
          <w:sz w:val="24"/>
          <w:szCs w:val="24"/>
        </w:rPr>
        <w:t xml:space="preserve">ffects of these reforms are analysed in detail by the Commission in its Country Report 2015 as follows. </w:t>
      </w:r>
    </w:p>
    <w:p w:rsidR="008F117C" w:rsidRPr="00AF652D" w:rsidRDefault="008F117C" w:rsidP="00AB2326">
      <w:pPr>
        <w:tabs>
          <w:tab w:val="left" w:pos="2694"/>
        </w:tabs>
        <w:spacing w:after="0" w:line="240" w:lineRule="auto"/>
        <w:rPr>
          <w:rFonts w:ascii="Arial" w:hAnsi="Arial" w:cs="Arial"/>
          <w:sz w:val="24"/>
          <w:szCs w:val="24"/>
        </w:rPr>
      </w:pPr>
    </w:p>
    <w:p w:rsidR="002300D2" w:rsidRDefault="009D580E"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“Recent tax and benefit measures affecting the low-skilled persons.</w:t>
      </w:r>
    </w:p>
    <w:p w:rsidR="00AF652D" w:rsidRPr="00AF652D" w:rsidRDefault="00AF652D" w:rsidP="00AB2326">
      <w:pPr>
        <w:tabs>
          <w:tab w:val="left" w:pos="2694"/>
        </w:tabs>
        <w:spacing w:after="0" w:line="240" w:lineRule="auto"/>
        <w:jc w:val="both"/>
        <w:rPr>
          <w:rFonts w:ascii="Arial" w:hAnsi="Arial" w:cs="Arial"/>
          <w:sz w:val="24"/>
          <w:szCs w:val="24"/>
        </w:rPr>
      </w:pPr>
    </w:p>
    <w:p w:rsidR="009D580E" w:rsidRPr="00AF652D" w:rsidRDefault="009D580E" w:rsidP="00AB2326">
      <w:pPr>
        <w:pStyle w:val="Default"/>
        <w:numPr>
          <w:ilvl w:val="0"/>
          <w:numId w:val="27"/>
        </w:numPr>
        <w:ind w:left="567" w:hanging="567"/>
        <w:jc w:val="both"/>
        <w:rPr>
          <w:rFonts w:ascii="Arial" w:hAnsi="Arial" w:cs="Arial"/>
          <w:lang w:val="en-GB"/>
        </w:rPr>
      </w:pPr>
      <w:r w:rsidRPr="00AF652D">
        <w:rPr>
          <w:rFonts w:ascii="Arial" w:hAnsi="Arial" w:cs="Arial"/>
          <w:lang w:val="en-GB"/>
        </w:rPr>
        <w:t xml:space="preserve">A flat personal income tax of 16% was introduced in steps between 2011 and 2013. This significantly reduced the effective tax rate of high income earners. Low income earners were affected negatively by the elimination of the employee tax credit. At the same time the family tax credit (dependent on the number of children) was significantly extended especially for those with at least three children and a high enough taxable income to take advantage of the full tax credit. Starting from 2014, the family tax credit was further extended, by allowing it to be credited against employee social security contributions. This benefited low and middle-income families who previously could not use the full amount family tax credit. </w:t>
      </w:r>
    </w:p>
    <w:p w:rsidR="009D580E" w:rsidRPr="00AF652D" w:rsidRDefault="009D580E" w:rsidP="00AB2326">
      <w:pPr>
        <w:pStyle w:val="Default"/>
        <w:numPr>
          <w:ilvl w:val="0"/>
          <w:numId w:val="27"/>
        </w:numPr>
        <w:ind w:left="567" w:hanging="567"/>
        <w:jc w:val="both"/>
        <w:rPr>
          <w:rFonts w:ascii="Arial" w:hAnsi="Arial" w:cs="Arial"/>
          <w:lang w:val="en-GB"/>
        </w:rPr>
      </w:pPr>
      <w:r w:rsidRPr="00AF652D">
        <w:rPr>
          <w:rFonts w:ascii="Arial" w:hAnsi="Arial" w:cs="Arial"/>
          <w:lang w:val="en-GB"/>
        </w:rPr>
        <w:t xml:space="preserve">The adverse effect on low income earners has been partly counterbalanced by the introduction of targeted cuts in the employer's social security contributions in the framework of the Job Protection Act, from January 2013 </w:t>
      </w:r>
      <w:r w:rsidR="003E0297" w:rsidRPr="00AF652D">
        <w:rPr>
          <w:rFonts w:ascii="Arial" w:hAnsi="Arial" w:cs="Arial"/>
          <w:lang w:val="en-GB"/>
        </w:rPr>
        <w:t>[…]</w:t>
      </w:r>
      <w:r w:rsidRPr="00AF652D">
        <w:rPr>
          <w:rFonts w:ascii="Arial" w:hAnsi="Arial" w:cs="Arial"/>
          <w:lang w:val="en-GB"/>
        </w:rPr>
        <w:t xml:space="preserve">. The measure targeted groups whose activity rate has indeed been low. The measure has also counterbalanced a significant increase in the minimum wage in 2013. </w:t>
      </w:r>
    </w:p>
    <w:p w:rsidR="009D580E" w:rsidRPr="00AF652D" w:rsidRDefault="009D580E" w:rsidP="00AB2326">
      <w:pPr>
        <w:pStyle w:val="Default"/>
        <w:numPr>
          <w:ilvl w:val="0"/>
          <w:numId w:val="27"/>
        </w:numPr>
        <w:ind w:left="567" w:hanging="567"/>
        <w:jc w:val="both"/>
        <w:rPr>
          <w:rFonts w:ascii="Arial" w:hAnsi="Arial" w:cs="Arial"/>
          <w:lang w:val="en-GB"/>
        </w:rPr>
      </w:pPr>
      <w:r w:rsidRPr="00AF652D">
        <w:rPr>
          <w:rFonts w:ascii="Arial" w:hAnsi="Arial" w:cs="Arial"/>
          <w:lang w:val="en-GB"/>
        </w:rPr>
        <w:t xml:space="preserve">Benefit-related reforms that </w:t>
      </w:r>
      <w:proofErr w:type="gramStart"/>
      <w:r w:rsidRPr="00AF652D">
        <w:rPr>
          <w:rFonts w:ascii="Arial" w:hAnsi="Arial" w:cs="Arial"/>
          <w:lang w:val="en-GB"/>
        </w:rPr>
        <w:t>had an effect on</w:t>
      </w:r>
      <w:proofErr w:type="gramEnd"/>
      <w:r w:rsidRPr="00AF652D">
        <w:rPr>
          <w:rFonts w:ascii="Arial" w:hAnsi="Arial" w:cs="Arial"/>
          <w:lang w:val="en-GB"/>
        </w:rPr>
        <w:t xml:space="preserve"> the labour market include the reduction of the duration and generosity of the unemployment benefit, and reforms to welfare benefits, including related reforms to the public works program. The duration of the unemployment benefit was reduced to maximum of 90 days in September 2011. This is the lowest benefit period of the jobseekers’ allowance in the EU, and does not correspond to the average time needed to find a job in Hungary which is above 1 year. In parallel, the maximum amount of unemployment benefits was also reduced to the minimum wage. Before, the maximum duration of unemployment benefits was altogether 9 months, their generosity reducing after 3 months and again after 6 months. </w:t>
      </w:r>
    </w:p>
    <w:p w:rsidR="008D073C" w:rsidRPr="00082E2C" w:rsidRDefault="009D580E" w:rsidP="00082E2C">
      <w:pPr>
        <w:pStyle w:val="Default"/>
        <w:numPr>
          <w:ilvl w:val="0"/>
          <w:numId w:val="27"/>
        </w:numPr>
        <w:ind w:left="567" w:hanging="567"/>
        <w:jc w:val="both"/>
        <w:rPr>
          <w:rFonts w:ascii="Arial" w:hAnsi="Arial" w:cs="Arial"/>
          <w:lang w:val="en-GB"/>
        </w:rPr>
      </w:pPr>
      <w:r w:rsidRPr="00AF652D">
        <w:rPr>
          <w:rFonts w:ascii="Arial" w:hAnsi="Arial" w:cs="Arial"/>
          <w:lang w:val="en-GB"/>
        </w:rPr>
        <w:t>Welfare benefits, i.e., benefits for the unemployed who are not eligible for other benefits, have been also reformed. Between 2006 and 2008, the “regular social benefit”</w:t>
      </w:r>
      <w:r w:rsidR="006D2769" w:rsidRPr="00AF652D">
        <w:rPr>
          <w:rStyle w:val="FootnoteReference"/>
          <w:rFonts w:ascii="Arial" w:hAnsi="Arial" w:cs="Arial"/>
          <w:lang w:val="en-GB"/>
        </w:rPr>
        <w:footnoteReference w:id="90"/>
      </w:r>
      <w:r w:rsidRPr="00AF652D">
        <w:rPr>
          <w:rFonts w:ascii="Arial" w:hAnsi="Arial" w:cs="Arial"/>
          <w:lang w:val="en-GB"/>
        </w:rPr>
        <w:t xml:space="preserve"> was determined as a function of total family income, and was capped at the minimum wage. Since 2009, the welfare benefit is lump-sum and is currently equal to 80% of the minimum old-age pension, currently HUF 22,800 (about EUR 70 per month; the benefit is currently named “</w:t>
      </w:r>
      <w:proofErr w:type="spellStart"/>
      <w:r w:rsidRPr="00AF652D">
        <w:rPr>
          <w:rFonts w:ascii="Arial" w:hAnsi="Arial" w:cs="Arial"/>
          <w:lang w:val="en-GB"/>
        </w:rPr>
        <w:t>foglalkoztatást</w:t>
      </w:r>
      <w:proofErr w:type="spellEnd"/>
      <w:r w:rsidRPr="00AF652D">
        <w:rPr>
          <w:rFonts w:ascii="Arial" w:hAnsi="Arial" w:cs="Arial"/>
          <w:lang w:val="en-GB"/>
        </w:rPr>
        <w:t xml:space="preserve"> </w:t>
      </w:r>
      <w:proofErr w:type="spellStart"/>
      <w:r w:rsidRPr="00AF652D">
        <w:rPr>
          <w:rFonts w:ascii="Arial" w:hAnsi="Arial" w:cs="Arial"/>
          <w:lang w:val="en-GB"/>
        </w:rPr>
        <w:t>helyettesítő</w:t>
      </w:r>
      <w:proofErr w:type="spellEnd"/>
      <w:r w:rsidRPr="00AF652D">
        <w:rPr>
          <w:rFonts w:ascii="Arial" w:hAnsi="Arial" w:cs="Arial"/>
          <w:lang w:val="en-GB"/>
        </w:rPr>
        <w:t xml:space="preserve"> </w:t>
      </w:r>
      <w:proofErr w:type="spellStart"/>
      <w:r w:rsidRPr="00AF652D">
        <w:rPr>
          <w:rFonts w:ascii="Arial" w:hAnsi="Arial" w:cs="Arial"/>
          <w:lang w:val="en-GB"/>
        </w:rPr>
        <w:t>támogatás</w:t>
      </w:r>
      <w:proofErr w:type="spellEnd"/>
      <w:r w:rsidRPr="00AF652D">
        <w:rPr>
          <w:rFonts w:ascii="Arial" w:hAnsi="Arial" w:cs="Arial"/>
          <w:lang w:val="en-GB"/>
        </w:rPr>
        <w:t xml:space="preserve">”). Eligibility to the welfare benefit is conditional on 30 days of activity per year which can be public work, earning activity on the primary labour market (including household work and simplified employment), participation in labour market programme, training advertised for a period of at least six months or voluntary activity of public interest. </w:t>
      </w:r>
      <w:r w:rsidR="008D073C" w:rsidRPr="00AF652D">
        <w:rPr>
          <w:rFonts w:ascii="Arial" w:hAnsi="Arial" w:cs="Arial"/>
          <w:lang w:val="en-GB"/>
        </w:rPr>
        <w:t>[…]”</w:t>
      </w:r>
      <w:r w:rsidRPr="00AF652D">
        <w:rPr>
          <w:rStyle w:val="FootnoteReference"/>
          <w:rFonts w:ascii="Arial" w:hAnsi="Arial" w:cs="Arial"/>
          <w:lang w:val="en-GB"/>
        </w:rPr>
        <w:footnoteReference w:id="91"/>
      </w:r>
    </w:p>
    <w:p w:rsidR="008F117C" w:rsidRPr="00AF652D" w:rsidRDefault="008F117C"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w:t>
      </w:r>
      <w:r w:rsidR="002300D2" w:rsidRPr="00AF652D">
        <w:rPr>
          <w:rFonts w:ascii="Arial" w:hAnsi="Arial" w:cs="Arial"/>
          <w:bCs/>
          <w:sz w:val="24"/>
          <w:szCs w:val="24"/>
        </w:rPr>
        <w:t xml:space="preserve">Recent tax and benefits reforms have had both positive and negative effects on overall employment. </w:t>
      </w:r>
      <w:r w:rsidR="002300D2" w:rsidRPr="00AF652D">
        <w:rPr>
          <w:rFonts w:ascii="Arial" w:hAnsi="Arial" w:cs="Arial"/>
          <w:sz w:val="24"/>
          <w:szCs w:val="24"/>
        </w:rPr>
        <w:t xml:space="preserve">While reforms to early retirement and disability benefits aimed at increasing labour market participation are expected to have positive effects in the long run, cuts in benefits may have had a contractionary effect in the short run. While the tax reform has eased the tax burden on high-income earners, the overall effect of the measures introduced on low-income and low-skilled workers, the part of the labour force most likely to move in and out of employment </w:t>
      </w:r>
      <w:proofErr w:type="gramStart"/>
      <w:r w:rsidR="002300D2" w:rsidRPr="00AF652D">
        <w:rPr>
          <w:rFonts w:ascii="Arial" w:hAnsi="Arial" w:cs="Arial"/>
          <w:sz w:val="24"/>
          <w:szCs w:val="24"/>
        </w:rPr>
        <w:t>as a result of</w:t>
      </w:r>
      <w:proofErr w:type="gramEnd"/>
      <w:r w:rsidR="002300D2" w:rsidRPr="00AF652D">
        <w:rPr>
          <w:rFonts w:ascii="Arial" w:hAnsi="Arial" w:cs="Arial"/>
          <w:sz w:val="24"/>
          <w:szCs w:val="24"/>
        </w:rPr>
        <w:t xml:space="preserve"> changes in incentives and the overall economic environment, has been mixed. The Job Protection Act introduced targeted reductions in the social contributions paid by employers for certain groups. This increased demand for labour and counterbalanced the effect of increases to the minimum wage and the removing of the employee tax credit </w:t>
      </w:r>
      <w:r w:rsidR="008D073C" w:rsidRPr="00AF652D">
        <w:rPr>
          <w:rFonts w:ascii="Arial" w:hAnsi="Arial" w:cs="Arial"/>
          <w:sz w:val="24"/>
          <w:szCs w:val="24"/>
        </w:rPr>
        <w:t>[...]</w:t>
      </w:r>
      <w:r w:rsidR="00A55E19" w:rsidRPr="00AF652D">
        <w:rPr>
          <w:rFonts w:ascii="Arial" w:hAnsi="Arial" w:cs="Arial"/>
          <w:sz w:val="24"/>
          <w:szCs w:val="24"/>
        </w:rPr>
        <w:t>. The reforms have</w:t>
      </w:r>
      <w:r w:rsidR="002300D2" w:rsidRPr="00AF652D">
        <w:rPr>
          <w:rFonts w:ascii="Arial" w:hAnsi="Arial" w:cs="Arial"/>
          <w:sz w:val="24"/>
          <w:szCs w:val="24"/>
        </w:rPr>
        <w:t>, however, overall not had a clear favourable effect on employment.</w:t>
      </w:r>
      <w:r w:rsidRPr="00AF652D">
        <w:rPr>
          <w:rFonts w:ascii="Arial" w:hAnsi="Arial" w:cs="Arial"/>
          <w:sz w:val="24"/>
          <w:szCs w:val="24"/>
        </w:rPr>
        <w:t>”</w:t>
      </w:r>
      <w:r w:rsidRPr="00AF652D">
        <w:rPr>
          <w:rStyle w:val="FootnoteReference"/>
          <w:rFonts w:ascii="Arial" w:hAnsi="Arial" w:cs="Arial"/>
          <w:sz w:val="24"/>
          <w:szCs w:val="24"/>
        </w:rPr>
        <w:footnoteReference w:id="92"/>
      </w:r>
    </w:p>
    <w:p w:rsidR="00DF7873" w:rsidRPr="00AF652D" w:rsidRDefault="00DF7873" w:rsidP="00AB2326">
      <w:pPr>
        <w:tabs>
          <w:tab w:val="left" w:pos="2694"/>
        </w:tabs>
        <w:spacing w:after="0" w:line="240" w:lineRule="auto"/>
        <w:jc w:val="both"/>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Conditionality of out-of-work benefits</w:t>
      </w:r>
    </w:p>
    <w:p w:rsidR="00020C3C" w:rsidRPr="00AF652D" w:rsidRDefault="00020C3C" w:rsidP="00AB2326">
      <w:pPr>
        <w:tabs>
          <w:tab w:val="left" w:pos="2694"/>
        </w:tabs>
        <w:spacing w:after="0" w:line="240" w:lineRule="auto"/>
        <w:rPr>
          <w:rFonts w:ascii="Arial" w:hAnsi="Arial" w:cs="Arial"/>
          <w:i/>
          <w:sz w:val="24"/>
          <w:szCs w:val="24"/>
        </w:rPr>
      </w:pPr>
    </w:p>
    <w:p w:rsidR="00ED2950" w:rsidRPr="00AF652D" w:rsidRDefault="00ED2950" w:rsidP="00AB2326">
      <w:p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To what extent is eligibility for out-of-work benefits conditional on active participation in job search or work-related activities? This question relates to pillar theme 14</w:t>
      </w:r>
    </w:p>
    <w:p w:rsidR="00ED2950" w:rsidRPr="00AF652D" w:rsidRDefault="00ED2950" w:rsidP="00AB2326">
      <w:pPr>
        <w:pStyle w:val="ListParagraph"/>
        <w:numPr>
          <w:ilvl w:val="0"/>
          <w:numId w:val="12"/>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e.g. obligation of to apply for jobs, try out work, attend rehabilitation or training programmes, accept less suitable job offers, etc.)? </w:t>
      </w:r>
    </w:p>
    <w:p w:rsidR="00ED2950" w:rsidRPr="00AF652D" w:rsidRDefault="00ED2950" w:rsidP="00AB2326">
      <w:pPr>
        <w:pStyle w:val="ListParagraph"/>
        <w:numPr>
          <w:ilvl w:val="0"/>
          <w:numId w:val="12"/>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Is there any reasonable accommodation or support for disabled job seekers in these obligatory activities?</w:t>
      </w:r>
    </w:p>
    <w:p w:rsidR="00F03526" w:rsidRPr="00AF652D" w:rsidRDefault="00F03526" w:rsidP="00AB2326">
      <w:pPr>
        <w:tabs>
          <w:tab w:val="left" w:pos="2694"/>
        </w:tabs>
        <w:spacing w:after="0" w:line="240" w:lineRule="auto"/>
        <w:rPr>
          <w:rFonts w:ascii="Arial" w:hAnsi="Arial" w:cs="Arial"/>
          <w:sz w:val="24"/>
          <w:szCs w:val="24"/>
        </w:rPr>
      </w:pPr>
    </w:p>
    <w:p w:rsidR="00F03526" w:rsidRPr="00AF652D" w:rsidRDefault="00993419"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Most of o</w:t>
      </w:r>
      <w:r w:rsidR="003C05E3" w:rsidRPr="00AF652D">
        <w:rPr>
          <w:rFonts w:ascii="Arial" w:hAnsi="Arial" w:cs="Arial"/>
          <w:sz w:val="24"/>
          <w:szCs w:val="24"/>
        </w:rPr>
        <w:t xml:space="preserve">ut-of-work benefits, as already described in the previous sections, are </w:t>
      </w:r>
      <w:r w:rsidRPr="00AF652D">
        <w:rPr>
          <w:rFonts w:ascii="Arial" w:hAnsi="Arial" w:cs="Arial"/>
          <w:sz w:val="24"/>
          <w:szCs w:val="24"/>
        </w:rPr>
        <w:t xml:space="preserve">conditional on active job-seeking, taking skill-developing or rehabilitation services and the duty to accept an appropriate </w:t>
      </w:r>
      <w:r w:rsidR="002622A2" w:rsidRPr="00AF652D">
        <w:rPr>
          <w:rFonts w:ascii="Arial" w:hAnsi="Arial" w:cs="Arial"/>
          <w:sz w:val="24"/>
          <w:szCs w:val="24"/>
        </w:rPr>
        <w:t>job offer, including a job offer in PWS.</w:t>
      </w:r>
    </w:p>
    <w:p w:rsidR="00286658" w:rsidRDefault="00286658"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Especially the following</w:t>
      </w:r>
      <w:r w:rsidR="00AE420E" w:rsidRPr="00AF652D">
        <w:rPr>
          <w:rFonts w:ascii="Arial" w:hAnsi="Arial" w:cs="Arial"/>
          <w:sz w:val="24"/>
          <w:szCs w:val="24"/>
        </w:rPr>
        <w:t xml:space="preserve"> </w:t>
      </w:r>
      <w:r w:rsidR="005869D2" w:rsidRPr="00AF652D">
        <w:rPr>
          <w:rFonts w:ascii="Arial" w:hAnsi="Arial" w:cs="Arial"/>
          <w:sz w:val="24"/>
          <w:szCs w:val="24"/>
        </w:rPr>
        <w:t xml:space="preserve">benefits and programmes </w:t>
      </w:r>
      <w:r w:rsidR="005434F6" w:rsidRPr="00AF652D">
        <w:rPr>
          <w:rFonts w:ascii="Arial" w:hAnsi="Arial" w:cs="Arial"/>
          <w:sz w:val="24"/>
          <w:szCs w:val="24"/>
        </w:rPr>
        <w:t>can be referred</w:t>
      </w:r>
      <w:r w:rsidR="005869D2" w:rsidRPr="00AF652D">
        <w:rPr>
          <w:rFonts w:ascii="Arial" w:hAnsi="Arial" w:cs="Arial"/>
          <w:sz w:val="24"/>
          <w:szCs w:val="24"/>
        </w:rPr>
        <w:t>.</w:t>
      </w:r>
    </w:p>
    <w:p w:rsidR="00AF652D" w:rsidRPr="00AF652D" w:rsidRDefault="00AF652D" w:rsidP="00AB2326">
      <w:pPr>
        <w:tabs>
          <w:tab w:val="left" w:pos="2694"/>
        </w:tabs>
        <w:spacing w:after="0" w:line="240" w:lineRule="auto"/>
        <w:jc w:val="both"/>
        <w:rPr>
          <w:rFonts w:ascii="Arial" w:hAnsi="Arial" w:cs="Arial"/>
          <w:sz w:val="24"/>
          <w:szCs w:val="24"/>
        </w:rPr>
      </w:pPr>
    </w:p>
    <w:p w:rsidR="005434F6" w:rsidRPr="00AF652D" w:rsidRDefault="005869D2" w:rsidP="00AB2326">
      <w:pPr>
        <w:pStyle w:val="ListParagraph"/>
        <w:numPr>
          <w:ilvl w:val="0"/>
          <w:numId w:val="28"/>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Conditions of eligibility for r</w:t>
      </w:r>
      <w:r w:rsidR="00F51D80" w:rsidRPr="00AF652D">
        <w:rPr>
          <w:rFonts w:ascii="Arial" w:hAnsi="Arial" w:cs="Arial"/>
          <w:sz w:val="24"/>
          <w:szCs w:val="24"/>
        </w:rPr>
        <w:t>ehabilitation allowance</w:t>
      </w:r>
      <w:r w:rsidR="00AE420E" w:rsidRPr="00AF652D">
        <w:rPr>
          <w:rFonts w:ascii="Arial" w:hAnsi="Arial" w:cs="Arial"/>
          <w:sz w:val="24"/>
          <w:szCs w:val="24"/>
        </w:rPr>
        <w:t xml:space="preserve"> </w:t>
      </w:r>
      <w:r w:rsidR="00F51D80" w:rsidRPr="00AF652D">
        <w:rPr>
          <w:rFonts w:ascii="Arial" w:hAnsi="Arial" w:cs="Arial"/>
          <w:sz w:val="24"/>
          <w:szCs w:val="24"/>
        </w:rPr>
        <w:t xml:space="preserve">(see in detail at section </w:t>
      </w:r>
      <w:r w:rsidR="00CD1398" w:rsidRPr="00AF652D">
        <w:rPr>
          <w:rFonts w:ascii="Arial" w:hAnsi="Arial" w:cs="Arial"/>
          <w:sz w:val="24"/>
          <w:szCs w:val="24"/>
        </w:rPr>
        <w:t>2.1. and 2.6.)</w:t>
      </w:r>
      <w:r w:rsidRPr="00AF652D">
        <w:rPr>
          <w:rFonts w:ascii="Arial" w:hAnsi="Arial" w:cs="Arial"/>
          <w:sz w:val="24"/>
          <w:szCs w:val="24"/>
        </w:rPr>
        <w:t>.</w:t>
      </w:r>
    </w:p>
    <w:p w:rsidR="00DA7BF3" w:rsidRPr="00AF652D" w:rsidRDefault="000015C3" w:rsidP="00AB2326">
      <w:pPr>
        <w:pStyle w:val="ListParagraph"/>
        <w:numPr>
          <w:ilvl w:val="0"/>
          <w:numId w:val="28"/>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Conditions of</w:t>
      </w:r>
      <w:r w:rsidR="005869D2" w:rsidRPr="00AF652D">
        <w:rPr>
          <w:rFonts w:ascii="Arial" w:hAnsi="Arial" w:cs="Arial"/>
          <w:sz w:val="24"/>
          <w:szCs w:val="24"/>
        </w:rPr>
        <w:t xml:space="preserve"> participation in PWS</w:t>
      </w:r>
      <w:r w:rsidR="00C105CB" w:rsidRPr="00AF652D">
        <w:rPr>
          <w:rFonts w:ascii="Arial" w:hAnsi="Arial" w:cs="Arial"/>
          <w:sz w:val="24"/>
          <w:szCs w:val="24"/>
        </w:rPr>
        <w:t xml:space="preserve"> (see in detail at sec</w:t>
      </w:r>
      <w:r w:rsidR="00330919" w:rsidRPr="00AF652D">
        <w:rPr>
          <w:rFonts w:ascii="Arial" w:hAnsi="Arial" w:cs="Arial"/>
          <w:sz w:val="24"/>
          <w:szCs w:val="24"/>
        </w:rPr>
        <w:t>tion 2.1.). Consequence</w:t>
      </w:r>
      <w:r w:rsidR="00C105CB" w:rsidRPr="00AF652D">
        <w:rPr>
          <w:rFonts w:ascii="Arial" w:hAnsi="Arial" w:cs="Arial"/>
          <w:sz w:val="24"/>
          <w:szCs w:val="24"/>
        </w:rPr>
        <w:t xml:space="preserve"> of exclusion from PWS can be that the individual is not able to </w:t>
      </w:r>
      <w:r w:rsidR="006905B2" w:rsidRPr="00AF652D">
        <w:rPr>
          <w:rFonts w:ascii="Arial" w:hAnsi="Arial" w:cs="Arial"/>
          <w:sz w:val="24"/>
          <w:szCs w:val="24"/>
        </w:rPr>
        <w:t xml:space="preserve">attest 30 days earning activity, </w:t>
      </w:r>
      <w:r w:rsidR="00330919" w:rsidRPr="00AF652D">
        <w:rPr>
          <w:rFonts w:ascii="Arial" w:hAnsi="Arial" w:cs="Arial"/>
          <w:sz w:val="24"/>
          <w:szCs w:val="24"/>
        </w:rPr>
        <w:t xml:space="preserve">which can lead to the </w:t>
      </w:r>
      <w:r w:rsidR="00DA7BF3" w:rsidRPr="00AF652D">
        <w:rPr>
          <w:rFonts w:ascii="Arial" w:hAnsi="Arial" w:cs="Arial"/>
          <w:sz w:val="24"/>
          <w:szCs w:val="24"/>
        </w:rPr>
        <w:t xml:space="preserve">termination of granting employment substituting allowance (see at section 2.7.). </w:t>
      </w:r>
    </w:p>
    <w:p w:rsidR="000015C3" w:rsidRPr="00AF652D" w:rsidRDefault="000015C3" w:rsidP="00AB2326">
      <w:pPr>
        <w:pStyle w:val="ListParagraph"/>
        <w:numPr>
          <w:ilvl w:val="0"/>
          <w:numId w:val="28"/>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Conditions of unemployment benefit </w:t>
      </w:r>
      <w:r w:rsidR="006E7505" w:rsidRPr="00AF652D">
        <w:rPr>
          <w:rFonts w:ascii="Arial" w:hAnsi="Arial" w:cs="Arial"/>
          <w:sz w:val="24"/>
          <w:szCs w:val="24"/>
        </w:rPr>
        <w:t xml:space="preserve">are very similar to the conditions of rehabilitation allowance: duty to active job-seeking, </w:t>
      </w:r>
      <w:r w:rsidR="00052E91" w:rsidRPr="00AF652D">
        <w:rPr>
          <w:rFonts w:ascii="Arial" w:hAnsi="Arial" w:cs="Arial"/>
          <w:sz w:val="24"/>
          <w:szCs w:val="24"/>
        </w:rPr>
        <w:t xml:space="preserve">using of labour market services offered by the employment authority, </w:t>
      </w:r>
      <w:r w:rsidR="00262F64" w:rsidRPr="00AF652D">
        <w:rPr>
          <w:rFonts w:ascii="Arial" w:hAnsi="Arial" w:cs="Arial"/>
          <w:sz w:val="24"/>
          <w:szCs w:val="24"/>
        </w:rPr>
        <w:t xml:space="preserve">a </w:t>
      </w:r>
      <w:r w:rsidR="00052E91" w:rsidRPr="00AF652D">
        <w:rPr>
          <w:rFonts w:ascii="Arial" w:hAnsi="Arial" w:cs="Arial"/>
          <w:sz w:val="24"/>
          <w:szCs w:val="24"/>
        </w:rPr>
        <w:t>duty to accept an appropriate job offer</w:t>
      </w:r>
      <w:r w:rsidR="00711949" w:rsidRPr="00AF652D">
        <w:rPr>
          <w:rFonts w:ascii="Arial" w:hAnsi="Arial" w:cs="Arial"/>
          <w:sz w:val="24"/>
          <w:szCs w:val="24"/>
        </w:rPr>
        <w:t>, including jobs in PWS.</w:t>
      </w:r>
      <w:r w:rsidR="00965929" w:rsidRPr="00AF652D">
        <w:rPr>
          <w:rStyle w:val="FootnoteReference"/>
          <w:rFonts w:ascii="Arial" w:hAnsi="Arial" w:cs="Arial"/>
          <w:sz w:val="24"/>
          <w:szCs w:val="24"/>
        </w:rPr>
        <w:footnoteReference w:id="93"/>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Flexibility of financial support during transition into work</w:t>
      </w:r>
    </w:p>
    <w:p w:rsidR="00020C3C" w:rsidRPr="00AF652D" w:rsidRDefault="00020C3C" w:rsidP="00AB2326">
      <w:pPr>
        <w:tabs>
          <w:tab w:val="left" w:pos="2694"/>
        </w:tabs>
        <w:spacing w:after="0" w:line="240" w:lineRule="auto"/>
        <w:rPr>
          <w:rFonts w:ascii="Arial" w:hAnsi="Arial" w:cs="Arial"/>
          <w:sz w:val="24"/>
          <w:szCs w:val="24"/>
        </w:rPr>
      </w:pPr>
    </w:p>
    <w:p w:rsidR="00ED2950"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Is there any financial system of allowance to support transitions from benefits into work for unemployed disabled persons? This questio</w:t>
      </w:r>
      <w:r w:rsidR="009D1E3B" w:rsidRPr="00AF652D">
        <w:rPr>
          <w:rFonts w:ascii="Arial" w:hAnsi="Arial" w:cs="Arial"/>
          <w:i/>
          <w:sz w:val="24"/>
          <w:szCs w:val="24"/>
        </w:rPr>
        <w:t>n relates to pillar theme 14</w:t>
      </w:r>
      <w:r w:rsidRPr="00AF652D">
        <w:rPr>
          <w:rFonts w:ascii="Arial" w:hAnsi="Arial" w:cs="Arial"/>
          <w:i/>
          <w:sz w:val="24"/>
          <w:szCs w:val="24"/>
        </w:rPr>
        <w:t xml:space="preserve"> and 16</w:t>
      </w:r>
      <w:r w:rsidR="009D1E3B" w:rsidRPr="00AF652D">
        <w:rPr>
          <w:rFonts w:ascii="Arial" w:hAnsi="Arial" w:cs="Arial"/>
          <w:i/>
          <w:sz w:val="24"/>
          <w:szCs w:val="24"/>
        </w:rPr>
        <w:t>:</w:t>
      </w:r>
    </w:p>
    <w:p w:rsidR="00ED2950" w:rsidRPr="00AF652D" w:rsidRDefault="00ED2950" w:rsidP="00AB2326">
      <w:pPr>
        <w:pStyle w:val="ListParagraph"/>
        <w:numPr>
          <w:ilvl w:val="0"/>
          <w:numId w:val="13"/>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e.g. financial support to try out work for a trial period without losing benefit entitlements?</w:t>
      </w:r>
    </w:p>
    <w:p w:rsidR="00711949" w:rsidRPr="00082E2C" w:rsidRDefault="00ED2950" w:rsidP="00AB2326">
      <w:pPr>
        <w:pStyle w:val="ListParagraph"/>
        <w:numPr>
          <w:ilvl w:val="0"/>
          <w:numId w:val="13"/>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to subsidise wages, to avoid ‘benefit traps’ or to ‘make work pay’? How does this work?</w:t>
      </w:r>
    </w:p>
    <w:p w:rsidR="00711949" w:rsidRPr="00AF652D" w:rsidRDefault="004F2A03"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lastRenderedPageBreak/>
        <w:t xml:space="preserve">Some </w:t>
      </w:r>
      <w:r w:rsidR="00A46A62" w:rsidRPr="00AF652D">
        <w:rPr>
          <w:rFonts w:ascii="Arial" w:hAnsi="Arial" w:cs="Arial"/>
          <w:sz w:val="24"/>
          <w:szCs w:val="24"/>
        </w:rPr>
        <w:t xml:space="preserve">specific </w:t>
      </w:r>
      <w:r w:rsidRPr="00AF652D">
        <w:rPr>
          <w:rFonts w:ascii="Arial" w:hAnsi="Arial" w:cs="Arial"/>
          <w:sz w:val="24"/>
          <w:szCs w:val="24"/>
        </w:rPr>
        <w:t xml:space="preserve">rules of the </w:t>
      </w:r>
      <w:r w:rsidR="00A46A62" w:rsidRPr="00AF652D">
        <w:rPr>
          <w:rFonts w:ascii="Arial" w:hAnsi="Arial" w:cs="Arial"/>
          <w:sz w:val="24"/>
          <w:szCs w:val="24"/>
        </w:rPr>
        <w:t>referred</w:t>
      </w:r>
      <w:r w:rsidRPr="00AF652D">
        <w:rPr>
          <w:rFonts w:ascii="Arial" w:hAnsi="Arial" w:cs="Arial"/>
          <w:sz w:val="24"/>
          <w:szCs w:val="24"/>
        </w:rPr>
        <w:t xml:space="preserve"> benefits are designed </w:t>
      </w:r>
      <w:r w:rsidR="00A46A62" w:rsidRPr="00AF652D">
        <w:rPr>
          <w:rFonts w:ascii="Arial" w:hAnsi="Arial" w:cs="Arial"/>
          <w:sz w:val="24"/>
          <w:szCs w:val="24"/>
        </w:rPr>
        <w:t xml:space="preserve">to ensure a smooth transition to employment in the open labour market. </w:t>
      </w:r>
    </w:p>
    <w:p w:rsidR="00A46A62" w:rsidRPr="00AF652D" w:rsidRDefault="009D469A"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Granting of rehabilitation allowance</w:t>
      </w:r>
      <w:r w:rsidR="00D676D8" w:rsidRPr="00AF652D">
        <w:rPr>
          <w:rFonts w:ascii="Arial" w:hAnsi="Arial" w:cs="Arial"/>
          <w:sz w:val="24"/>
          <w:szCs w:val="24"/>
        </w:rPr>
        <w:t xml:space="preserve"> or invalidity allowance</w:t>
      </w:r>
      <w:r w:rsidR="005660D4" w:rsidRPr="00AF652D">
        <w:rPr>
          <w:rFonts w:ascii="Arial" w:hAnsi="Arial" w:cs="Arial"/>
          <w:sz w:val="24"/>
          <w:szCs w:val="24"/>
        </w:rPr>
        <w:t xml:space="preserve"> </w:t>
      </w:r>
      <w:proofErr w:type="gramStart"/>
      <w:r w:rsidRPr="00AF652D">
        <w:rPr>
          <w:rFonts w:ascii="Arial" w:hAnsi="Arial" w:cs="Arial"/>
          <w:sz w:val="24"/>
          <w:szCs w:val="24"/>
        </w:rPr>
        <w:t>has to</w:t>
      </w:r>
      <w:proofErr w:type="gramEnd"/>
      <w:r w:rsidRPr="00AF652D">
        <w:rPr>
          <w:rFonts w:ascii="Arial" w:hAnsi="Arial" w:cs="Arial"/>
          <w:sz w:val="24"/>
          <w:szCs w:val="24"/>
        </w:rPr>
        <w:t xml:space="preserve"> be terminated </w:t>
      </w:r>
      <w:r w:rsidR="00E56A36" w:rsidRPr="00AF652D">
        <w:rPr>
          <w:rFonts w:ascii="Arial" w:hAnsi="Arial" w:cs="Arial"/>
          <w:sz w:val="24"/>
          <w:szCs w:val="24"/>
        </w:rPr>
        <w:t xml:space="preserve">no sooner than 3 </w:t>
      </w:r>
      <w:r w:rsidR="007C49F6" w:rsidRPr="00AF652D">
        <w:rPr>
          <w:rFonts w:ascii="Arial" w:hAnsi="Arial" w:cs="Arial"/>
          <w:sz w:val="24"/>
          <w:szCs w:val="24"/>
        </w:rPr>
        <w:t xml:space="preserve">subsequent </w:t>
      </w:r>
      <w:r w:rsidR="00E56A36" w:rsidRPr="00AF652D">
        <w:rPr>
          <w:rFonts w:ascii="Arial" w:hAnsi="Arial" w:cs="Arial"/>
          <w:sz w:val="24"/>
          <w:szCs w:val="24"/>
        </w:rPr>
        <w:t>month</w:t>
      </w:r>
      <w:r w:rsidR="00EC3B37" w:rsidRPr="00AF652D">
        <w:rPr>
          <w:rFonts w:ascii="Arial" w:hAnsi="Arial" w:cs="Arial"/>
          <w:sz w:val="24"/>
          <w:szCs w:val="24"/>
        </w:rPr>
        <w:t>s</w:t>
      </w:r>
      <w:r w:rsidR="00AE420E" w:rsidRPr="00AF652D">
        <w:rPr>
          <w:rFonts w:ascii="Arial" w:hAnsi="Arial" w:cs="Arial"/>
          <w:sz w:val="24"/>
          <w:szCs w:val="24"/>
        </w:rPr>
        <w:t xml:space="preserve"> </w:t>
      </w:r>
      <w:r w:rsidR="007C49F6" w:rsidRPr="00AF652D">
        <w:rPr>
          <w:rFonts w:ascii="Arial" w:hAnsi="Arial" w:cs="Arial"/>
          <w:sz w:val="24"/>
          <w:szCs w:val="24"/>
        </w:rPr>
        <w:t xml:space="preserve">of </w:t>
      </w:r>
      <w:r w:rsidR="00E56A36" w:rsidRPr="00AF652D">
        <w:rPr>
          <w:rFonts w:ascii="Arial" w:hAnsi="Arial" w:cs="Arial"/>
          <w:sz w:val="24"/>
          <w:szCs w:val="24"/>
        </w:rPr>
        <w:t xml:space="preserve">earning activity, provided that the client earns more than the 150 % of the minimum wage in each month. </w:t>
      </w:r>
      <w:r w:rsidR="00D676D8" w:rsidRPr="00AF652D">
        <w:rPr>
          <w:rFonts w:ascii="Arial" w:hAnsi="Arial" w:cs="Arial"/>
          <w:sz w:val="24"/>
          <w:szCs w:val="24"/>
        </w:rPr>
        <w:t xml:space="preserve">In other </w:t>
      </w:r>
      <w:proofErr w:type="gramStart"/>
      <w:r w:rsidR="00D676D8" w:rsidRPr="00AF652D">
        <w:rPr>
          <w:rFonts w:ascii="Arial" w:hAnsi="Arial" w:cs="Arial"/>
          <w:sz w:val="24"/>
          <w:szCs w:val="24"/>
        </w:rPr>
        <w:t>cases</w:t>
      </w:r>
      <w:proofErr w:type="gramEnd"/>
      <w:r w:rsidR="005660D4" w:rsidRPr="00AF652D">
        <w:rPr>
          <w:rFonts w:ascii="Arial" w:hAnsi="Arial" w:cs="Arial"/>
          <w:sz w:val="24"/>
          <w:szCs w:val="24"/>
        </w:rPr>
        <w:t xml:space="preserve"> </w:t>
      </w:r>
      <w:r w:rsidR="009940A8" w:rsidRPr="00AF652D">
        <w:rPr>
          <w:rFonts w:ascii="Arial" w:hAnsi="Arial" w:cs="Arial"/>
          <w:sz w:val="24"/>
          <w:szCs w:val="24"/>
        </w:rPr>
        <w:t xml:space="preserve">the client receives the </w:t>
      </w:r>
      <w:r w:rsidR="003263A3" w:rsidRPr="00AF652D">
        <w:rPr>
          <w:rFonts w:ascii="Arial" w:hAnsi="Arial" w:cs="Arial"/>
          <w:sz w:val="24"/>
          <w:szCs w:val="24"/>
        </w:rPr>
        <w:t xml:space="preserve">full sum of the </w:t>
      </w:r>
      <w:r w:rsidR="009940A8" w:rsidRPr="00AF652D">
        <w:rPr>
          <w:rFonts w:ascii="Arial" w:hAnsi="Arial" w:cs="Arial"/>
          <w:sz w:val="24"/>
          <w:szCs w:val="24"/>
        </w:rPr>
        <w:t xml:space="preserve">allowance </w:t>
      </w:r>
      <w:r w:rsidR="003263A3" w:rsidRPr="00AF652D">
        <w:rPr>
          <w:rFonts w:ascii="Arial" w:hAnsi="Arial" w:cs="Arial"/>
          <w:sz w:val="24"/>
          <w:szCs w:val="24"/>
        </w:rPr>
        <w:t xml:space="preserve">in </w:t>
      </w:r>
      <w:r w:rsidR="009940A8" w:rsidRPr="00AF652D">
        <w:rPr>
          <w:rFonts w:ascii="Arial" w:hAnsi="Arial" w:cs="Arial"/>
          <w:sz w:val="24"/>
          <w:szCs w:val="24"/>
        </w:rPr>
        <w:t>parallel with the income from work.</w:t>
      </w:r>
      <w:r w:rsidR="001A5DB2" w:rsidRPr="00AF652D">
        <w:rPr>
          <w:rStyle w:val="FootnoteReference"/>
          <w:rFonts w:ascii="Arial" w:hAnsi="Arial" w:cs="Arial"/>
          <w:sz w:val="24"/>
          <w:szCs w:val="24"/>
        </w:rPr>
        <w:footnoteReference w:id="94"/>
      </w:r>
      <w:r w:rsidR="008E666D" w:rsidRPr="00AF652D">
        <w:rPr>
          <w:rFonts w:ascii="Arial" w:hAnsi="Arial" w:cs="Arial"/>
          <w:sz w:val="24"/>
          <w:szCs w:val="24"/>
        </w:rPr>
        <w:t xml:space="preserve"> </w:t>
      </w:r>
      <w:r w:rsidR="00A62914" w:rsidRPr="00AF652D">
        <w:rPr>
          <w:rFonts w:ascii="Arial" w:hAnsi="Arial" w:cs="Arial"/>
          <w:sz w:val="24"/>
          <w:szCs w:val="24"/>
        </w:rPr>
        <w:t xml:space="preserve">Earlier (until </w:t>
      </w:r>
      <w:r w:rsidR="00974619" w:rsidRPr="00AF652D">
        <w:rPr>
          <w:rFonts w:ascii="Arial" w:hAnsi="Arial" w:cs="Arial"/>
          <w:sz w:val="24"/>
          <w:szCs w:val="24"/>
        </w:rPr>
        <w:t>30</w:t>
      </w:r>
      <w:r w:rsidR="00625769" w:rsidRPr="00AF652D">
        <w:rPr>
          <w:rFonts w:ascii="Arial" w:hAnsi="Arial" w:cs="Arial"/>
          <w:sz w:val="24"/>
          <w:szCs w:val="24"/>
          <w:vertAlign w:val="superscript"/>
        </w:rPr>
        <w:t>th</w:t>
      </w:r>
      <w:r w:rsidR="00974619" w:rsidRPr="00AF652D">
        <w:rPr>
          <w:rFonts w:ascii="Arial" w:hAnsi="Arial" w:cs="Arial"/>
          <w:sz w:val="24"/>
          <w:szCs w:val="24"/>
        </w:rPr>
        <w:t xml:space="preserve"> April </w:t>
      </w:r>
      <w:r w:rsidR="00A62914" w:rsidRPr="00AF652D">
        <w:rPr>
          <w:rFonts w:ascii="Arial" w:hAnsi="Arial" w:cs="Arial"/>
          <w:sz w:val="24"/>
          <w:szCs w:val="24"/>
        </w:rPr>
        <w:t xml:space="preserve">2016) the granting of rehabilitation allowance had been suspended, provided that the client </w:t>
      </w:r>
      <w:r w:rsidR="00C50EEB" w:rsidRPr="00AF652D">
        <w:rPr>
          <w:rFonts w:ascii="Arial" w:hAnsi="Arial" w:cs="Arial"/>
          <w:sz w:val="24"/>
          <w:szCs w:val="24"/>
        </w:rPr>
        <w:t xml:space="preserve">worked over 20 hours a week. This limitation had not served the </w:t>
      </w:r>
      <w:r w:rsidR="00974619" w:rsidRPr="00AF652D">
        <w:rPr>
          <w:rFonts w:ascii="Arial" w:hAnsi="Arial" w:cs="Arial"/>
          <w:sz w:val="24"/>
          <w:szCs w:val="24"/>
        </w:rPr>
        <w:t>transition to the open labour market, so it had been cancelled.</w:t>
      </w:r>
      <w:r w:rsidR="00974619" w:rsidRPr="00AF652D">
        <w:rPr>
          <w:rStyle w:val="FootnoteReference"/>
          <w:rFonts w:ascii="Arial" w:hAnsi="Arial" w:cs="Arial"/>
          <w:sz w:val="24"/>
          <w:szCs w:val="24"/>
        </w:rPr>
        <w:footnoteReference w:id="95"/>
      </w:r>
    </w:p>
    <w:p w:rsidR="00974619" w:rsidRPr="00AF652D" w:rsidRDefault="00D676D8"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In PWS the employer is obliged to grant a leave for the client </w:t>
      </w:r>
      <w:proofErr w:type="gramStart"/>
      <w:r w:rsidRPr="00AF652D">
        <w:rPr>
          <w:rFonts w:ascii="Arial" w:hAnsi="Arial" w:cs="Arial"/>
          <w:sz w:val="24"/>
          <w:szCs w:val="24"/>
        </w:rPr>
        <w:t>for the purpose of</w:t>
      </w:r>
      <w:proofErr w:type="gramEnd"/>
      <w:r w:rsidRPr="00AF652D">
        <w:rPr>
          <w:rFonts w:ascii="Arial" w:hAnsi="Arial" w:cs="Arial"/>
          <w:sz w:val="24"/>
          <w:szCs w:val="24"/>
        </w:rPr>
        <w:t xml:space="preserve"> job interviews. Once the client establishes a fixed-term “normal” employment relationship for a duration of 3 to 120 days, the </w:t>
      </w:r>
      <w:r w:rsidR="004F71C2" w:rsidRPr="00AF652D">
        <w:rPr>
          <w:rFonts w:ascii="Arial" w:hAnsi="Arial" w:cs="Arial"/>
          <w:sz w:val="24"/>
          <w:szCs w:val="24"/>
        </w:rPr>
        <w:t xml:space="preserve">public works </w:t>
      </w:r>
      <w:r w:rsidRPr="00AF652D">
        <w:rPr>
          <w:rFonts w:ascii="Arial" w:hAnsi="Arial" w:cs="Arial"/>
          <w:sz w:val="24"/>
          <w:szCs w:val="24"/>
        </w:rPr>
        <w:t xml:space="preserve">employer </w:t>
      </w:r>
      <w:proofErr w:type="gramStart"/>
      <w:r w:rsidRPr="00AF652D">
        <w:rPr>
          <w:rFonts w:ascii="Arial" w:hAnsi="Arial" w:cs="Arial"/>
          <w:sz w:val="24"/>
          <w:szCs w:val="24"/>
        </w:rPr>
        <w:t>has to</w:t>
      </w:r>
      <w:proofErr w:type="gramEnd"/>
      <w:r w:rsidRPr="00AF652D">
        <w:rPr>
          <w:rFonts w:ascii="Arial" w:hAnsi="Arial" w:cs="Arial"/>
          <w:sz w:val="24"/>
          <w:szCs w:val="24"/>
        </w:rPr>
        <w:t xml:space="preserve"> ensure an unpaid leave for him/her.</w:t>
      </w:r>
      <w:r w:rsidRPr="00AF652D">
        <w:rPr>
          <w:rStyle w:val="FootnoteReference"/>
          <w:rFonts w:ascii="Arial" w:hAnsi="Arial" w:cs="Arial"/>
          <w:sz w:val="24"/>
          <w:szCs w:val="24"/>
        </w:rPr>
        <w:footnoteReference w:id="96"/>
      </w:r>
    </w:p>
    <w:p w:rsidR="00C556B9" w:rsidRPr="00AF652D" w:rsidRDefault="009940A8"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According to the general rule, unemployment benefit </w:t>
      </w:r>
      <w:proofErr w:type="gramStart"/>
      <w:r w:rsidRPr="00AF652D">
        <w:rPr>
          <w:rFonts w:ascii="Arial" w:hAnsi="Arial" w:cs="Arial"/>
          <w:sz w:val="24"/>
          <w:szCs w:val="24"/>
        </w:rPr>
        <w:t>has to</w:t>
      </w:r>
      <w:proofErr w:type="gramEnd"/>
      <w:r w:rsidRPr="00AF652D">
        <w:rPr>
          <w:rFonts w:ascii="Arial" w:hAnsi="Arial" w:cs="Arial"/>
          <w:sz w:val="24"/>
          <w:szCs w:val="24"/>
        </w:rPr>
        <w:t xml:space="preserve"> be terminated provided that the client </w:t>
      </w:r>
      <w:r w:rsidR="00637E15" w:rsidRPr="00AF652D">
        <w:rPr>
          <w:rFonts w:ascii="Arial" w:hAnsi="Arial" w:cs="Arial"/>
          <w:sz w:val="24"/>
          <w:szCs w:val="24"/>
        </w:rPr>
        <w:t>continues an earning activity. As an exception, g</w:t>
      </w:r>
      <w:r w:rsidRPr="00AF652D">
        <w:rPr>
          <w:rFonts w:ascii="Arial" w:hAnsi="Arial" w:cs="Arial"/>
          <w:sz w:val="24"/>
          <w:szCs w:val="24"/>
        </w:rPr>
        <w:t xml:space="preserve">ranting of </w:t>
      </w:r>
      <w:r w:rsidR="00637E15" w:rsidRPr="00AF652D">
        <w:rPr>
          <w:rFonts w:ascii="Arial" w:hAnsi="Arial" w:cs="Arial"/>
          <w:sz w:val="24"/>
          <w:szCs w:val="24"/>
        </w:rPr>
        <w:t xml:space="preserve">unemployment benefit can be further granted, if the </w:t>
      </w:r>
      <w:r w:rsidR="00A97D40" w:rsidRPr="00AF652D">
        <w:rPr>
          <w:rFonts w:ascii="Arial" w:hAnsi="Arial" w:cs="Arial"/>
          <w:sz w:val="24"/>
          <w:szCs w:val="24"/>
        </w:rPr>
        <w:t xml:space="preserve">client participates in “occasional employment” or </w:t>
      </w:r>
      <w:r w:rsidR="00C556B9" w:rsidRPr="00AF652D">
        <w:rPr>
          <w:rFonts w:ascii="Arial" w:hAnsi="Arial" w:cs="Arial"/>
          <w:sz w:val="24"/>
          <w:szCs w:val="24"/>
        </w:rPr>
        <w:t>is employed for no longer than 90 days. In the latter case the granting is only suspended.</w:t>
      </w:r>
      <w:r w:rsidR="00C556B9" w:rsidRPr="00AF652D">
        <w:rPr>
          <w:rStyle w:val="FootnoteReference"/>
          <w:rFonts w:ascii="Arial" w:hAnsi="Arial" w:cs="Arial"/>
          <w:sz w:val="24"/>
          <w:szCs w:val="24"/>
        </w:rPr>
        <w:footnoteReference w:id="97"/>
      </w:r>
    </w:p>
    <w:p w:rsidR="00D676D8" w:rsidRPr="00AF652D" w:rsidRDefault="000C7EA7"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According to the general rule, allowance for persons of active age </w:t>
      </w:r>
      <w:proofErr w:type="gramStart"/>
      <w:r w:rsidRPr="00AF652D">
        <w:rPr>
          <w:rFonts w:ascii="Arial" w:hAnsi="Arial" w:cs="Arial"/>
          <w:sz w:val="24"/>
          <w:szCs w:val="24"/>
        </w:rPr>
        <w:t>has to</w:t>
      </w:r>
      <w:proofErr w:type="gramEnd"/>
      <w:r w:rsidRPr="00AF652D">
        <w:rPr>
          <w:rFonts w:ascii="Arial" w:hAnsi="Arial" w:cs="Arial"/>
          <w:sz w:val="24"/>
          <w:szCs w:val="24"/>
        </w:rPr>
        <w:t xml:space="preserve"> be terminated provided that the client continues an earning activity. As an exception, granting of </w:t>
      </w:r>
      <w:r w:rsidR="00541B59" w:rsidRPr="00AF652D">
        <w:rPr>
          <w:rFonts w:ascii="Arial" w:hAnsi="Arial" w:cs="Arial"/>
          <w:sz w:val="24"/>
          <w:szCs w:val="24"/>
        </w:rPr>
        <w:t xml:space="preserve">the </w:t>
      </w:r>
      <w:r w:rsidRPr="00AF652D">
        <w:rPr>
          <w:rFonts w:ascii="Arial" w:hAnsi="Arial" w:cs="Arial"/>
          <w:sz w:val="24"/>
          <w:szCs w:val="24"/>
        </w:rPr>
        <w:t>unemployment benefit can be granted until the 120</w:t>
      </w:r>
      <w:r w:rsidRPr="00AF652D">
        <w:rPr>
          <w:rFonts w:ascii="Arial" w:hAnsi="Arial" w:cs="Arial"/>
          <w:sz w:val="24"/>
          <w:szCs w:val="24"/>
          <w:vertAlign w:val="superscript"/>
        </w:rPr>
        <w:t>th</w:t>
      </w:r>
      <w:r w:rsidRPr="00AF652D">
        <w:rPr>
          <w:rFonts w:ascii="Arial" w:hAnsi="Arial" w:cs="Arial"/>
          <w:sz w:val="24"/>
          <w:szCs w:val="24"/>
        </w:rPr>
        <w:t xml:space="preserve"> day of the earning activity.</w:t>
      </w:r>
      <w:r w:rsidR="005A091B" w:rsidRPr="00AF652D">
        <w:rPr>
          <w:rFonts w:ascii="Arial" w:hAnsi="Arial" w:cs="Arial"/>
          <w:sz w:val="24"/>
          <w:szCs w:val="24"/>
        </w:rPr>
        <w:t xml:space="preserve"> During this period the allowance is only suspended. Occasional or seasonal employment is permitted without </w:t>
      </w:r>
      <w:r w:rsidR="00031DD5" w:rsidRPr="00AF652D">
        <w:rPr>
          <w:rFonts w:ascii="Arial" w:hAnsi="Arial" w:cs="Arial"/>
          <w:sz w:val="24"/>
          <w:szCs w:val="24"/>
        </w:rPr>
        <w:t>restriction</w:t>
      </w:r>
      <w:r w:rsidR="005A091B" w:rsidRPr="00AF652D">
        <w:rPr>
          <w:rFonts w:ascii="Arial" w:hAnsi="Arial" w:cs="Arial"/>
          <w:sz w:val="24"/>
          <w:szCs w:val="24"/>
        </w:rPr>
        <w:t>.</w:t>
      </w:r>
      <w:r w:rsidR="005A091B" w:rsidRPr="00AF652D">
        <w:rPr>
          <w:rStyle w:val="FootnoteReference"/>
          <w:rFonts w:ascii="Arial" w:hAnsi="Arial" w:cs="Arial"/>
          <w:sz w:val="24"/>
          <w:szCs w:val="24"/>
        </w:rPr>
        <w:footnoteReference w:id="98"/>
      </w:r>
    </w:p>
    <w:p w:rsidR="008E72D3" w:rsidRPr="00AF652D" w:rsidRDefault="00F7486E"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A specific </w:t>
      </w:r>
      <w:r w:rsidR="00496CF2" w:rsidRPr="00AF652D">
        <w:rPr>
          <w:rFonts w:ascii="Arial" w:hAnsi="Arial" w:cs="Arial"/>
          <w:sz w:val="24"/>
          <w:szCs w:val="24"/>
        </w:rPr>
        <w:t>monthly</w:t>
      </w:r>
      <w:r w:rsidR="00AE420E" w:rsidRPr="00AF652D">
        <w:rPr>
          <w:rFonts w:ascii="Arial" w:hAnsi="Arial" w:cs="Arial"/>
          <w:sz w:val="24"/>
          <w:szCs w:val="24"/>
        </w:rPr>
        <w:t xml:space="preserve"> </w:t>
      </w:r>
      <w:r w:rsidRPr="00AF652D">
        <w:rPr>
          <w:rFonts w:ascii="Arial" w:hAnsi="Arial" w:cs="Arial"/>
          <w:sz w:val="24"/>
          <w:szCs w:val="24"/>
        </w:rPr>
        <w:t xml:space="preserve">allowance is designed for starting work </w:t>
      </w:r>
      <w:r w:rsidR="00EB7261" w:rsidRPr="00AF652D">
        <w:rPr>
          <w:rFonts w:ascii="Arial" w:hAnsi="Arial" w:cs="Arial"/>
          <w:sz w:val="24"/>
          <w:szCs w:val="24"/>
        </w:rPr>
        <w:t xml:space="preserve">in the open labour market </w:t>
      </w:r>
      <w:r w:rsidRPr="00AF652D">
        <w:rPr>
          <w:rFonts w:ascii="Arial" w:hAnsi="Arial" w:cs="Arial"/>
          <w:sz w:val="24"/>
          <w:szCs w:val="24"/>
        </w:rPr>
        <w:t xml:space="preserve">after </w:t>
      </w:r>
      <w:r w:rsidR="00EB7261" w:rsidRPr="00AF652D">
        <w:rPr>
          <w:rFonts w:ascii="Arial" w:hAnsi="Arial" w:cs="Arial"/>
          <w:sz w:val="24"/>
          <w:szCs w:val="24"/>
        </w:rPr>
        <w:t xml:space="preserve">a </w:t>
      </w:r>
      <w:r w:rsidRPr="00AF652D">
        <w:rPr>
          <w:rFonts w:ascii="Arial" w:hAnsi="Arial" w:cs="Arial"/>
          <w:sz w:val="24"/>
          <w:szCs w:val="24"/>
        </w:rPr>
        <w:t xml:space="preserve">longer participation in PWS. </w:t>
      </w:r>
      <w:r w:rsidR="00E94039" w:rsidRPr="00AF652D">
        <w:rPr>
          <w:rFonts w:ascii="Arial" w:hAnsi="Arial" w:cs="Arial"/>
          <w:sz w:val="24"/>
          <w:szCs w:val="24"/>
        </w:rPr>
        <w:t>An employee</w:t>
      </w:r>
      <w:r w:rsidR="00AE420E" w:rsidRPr="00AF652D">
        <w:rPr>
          <w:rFonts w:ascii="Arial" w:hAnsi="Arial" w:cs="Arial"/>
          <w:sz w:val="24"/>
          <w:szCs w:val="24"/>
        </w:rPr>
        <w:t xml:space="preserve"> </w:t>
      </w:r>
      <w:r w:rsidR="00E94039" w:rsidRPr="00AF652D">
        <w:rPr>
          <w:rFonts w:ascii="Arial" w:hAnsi="Arial" w:cs="Arial"/>
          <w:sz w:val="24"/>
          <w:szCs w:val="24"/>
        </w:rPr>
        <w:t>is</w:t>
      </w:r>
      <w:r w:rsidRPr="00AF652D">
        <w:rPr>
          <w:rFonts w:ascii="Arial" w:hAnsi="Arial" w:cs="Arial"/>
          <w:sz w:val="24"/>
          <w:szCs w:val="24"/>
        </w:rPr>
        <w:t xml:space="preserve"> eligible for it</w:t>
      </w:r>
      <w:r w:rsidR="00496CF2" w:rsidRPr="00AF652D">
        <w:rPr>
          <w:rFonts w:ascii="Arial" w:hAnsi="Arial" w:cs="Arial"/>
          <w:sz w:val="24"/>
          <w:szCs w:val="24"/>
        </w:rPr>
        <w:t>,</w:t>
      </w:r>
      <w:r w:rsidRPr="00AF652D">
        <w:rPr>
          <w:rFonts w:ascii="Arial" w:hAnsi="Arial" w:cs="Arial"/>
          <w:sz w:val="24"/>
          <w:szCs w:val="24"/>
        </w:rPr>
        <w:t xml:space="preserve"> </w:t>
      </w:r>
      <w:proofErr w:type="gramStart"/>
      <w:r w:rsidRPr="00AF652D">
        <w:rPr>
          <w:rFonts w:ascii="Arial" w:hAnsi="Arial" w:cs="Arial"/>
          <w:sz w:val="24"/>
          <w:szCs w:val="24"/>
        </w:rPr>
        <w:t>provided that</w:t>
      </w:r>
      <w:proofErr w:type="gramEnd"/>
      <w:r w:rsidR="00AE420E" w:rsidRPr="00AF652D">
        <w:rPr>
          <w:rFonts w:ascii="Arial" w:hAnsi="Arial" w:cs="Arial"/>
          <w:sz w:val="24"/>
          <w:szCs w:val="24"/>
        </w:rPr>
        <w:t xml:space="preserve"> </w:t>
      </w:r>
      <w:r w:rsidR="00E94039" w:rsidRPr="00AF652D">
        <w:rPr>
          <w:rFonts w:ascii="Arial" w:hAnsi="Arial" w:cs="Arial"/>
          <w:sz w:val="24"/>
          <w:szCs w:val="24"/>
        </w:rPr>
        <w:t xml:space="preserve">he/she </w:t>
      </w:r>
      <w:r w:rsidR="009F660A" w:rsidRPr="00AF652D">
        <w:rPr>
          <w:rFonts w:ascii="Arial" w:hAnsi="Arial" w:cs="Arial"/>
          <w:sz w:val="24"/>
          <w:szCs w:val="24"/>
        </w:rPr>
        <w:t>conclude</w:t>
      </w:r>
      <w:r w:rsidR="00E94039" w:rsidRPr="00AF652D">
        <w:rPr>
          <w:rFonts w:ascii="Arial" w:hAnsi="Arial" w:cs="Arial"/>
          <w:sz w:val="24"/>
          <w:szCs w:val="24"/>
        </w:rPr>
        <w:t>s</w:t>
      </w:r>
      <w:r w:rsidR="009F660A" w:rsidRPr="00AF652D">
        <w:rPr>
          <w:rFonts w:ascii="Arial" w:hAnsi="Arial" w:cs="Arial"/>
          <w:sz w:val="24"/>
          <w:szCs w:val="24"/>
        </w:rPr>
        <w:t xml:space="preserve"> an unfixed-term or a for at least 1 year fixed-term </w:t>
      </w:r>
      <w:r w:rsidR="005E3F2B" w:rsidRPr="00AF652D">
        <w:rPr>
          <w:rFonts w:ascii="Arial" w:hAnsi="Arial" w:cs="Arial"/>
          <w:sz w:val="24"/>
          <w:szCs w:val="24"/>
        </w:rPr>
        <w:t>employm</w:t>
      </w:r>
      <w:r w:rsidR="009F660A" w:rsidRPr="00AF652D">
        <w:rPr>
          <w:rFonts w:ascii="Arial" w:hAnsi="Arial" w:cs="Arial"/>
          <w:sz w:val="24"/>
          <w:szCs w:val="24"/>
        </w:rPr>
        <w:t>ent relationship with an employer in the open labour market</w:t>
      </w:r>
      <w:r w:rsidR="005B5EB9" w:rsidRPr="00AF652D">
        <w:rPr>
          <w:rFonts w:ascii="Arial" w:hAnsi="Arial" w:cs="Arial"/>
          <w:sz w:val="24"/>
          <w:szCs w:val="24"/>
        </w:rPr>
        <w:t>, and in the previous 2 years he/she had spent at least 180 days in PWS relationship.</w:t>
      </w:r>
      <w:r w:rsidR="00974A3D" w:rsidRPr="00AF652D">
        <w:rPr>
          <w:rFonts w:ascii="Arial" w:hAnsi="Arial" w:cs="Arial"/>
          <w:sz w:val="24"/>
          <w:szCs w:val="24"/>
        </w:rPr>
        <w:t xml:space="preserve"> (There are some further conditions as well.)</w:t>
      </w:r>
      <w:r w:rsidR="00182E10" w:rsidRPr="00AF652D">
        <w:rPr>
          <w:rStyle w:val="FootnoteReference"/>
          <w:rFonts w:ascii="Arial" w:hAnsi="Arial" w:cs="Arial"/>
          <w:sz w:val="24"/>
          <w:szCs w:val="24"/>
        </w:rPr>
        <w:footnoteReference w:id="99"/>
      </w:r>
      <w:r w:rsidR="008E666D" w:rsidRPr="00AF652D">
        <w:rPr>
          <w:rFonts w:ascii="Arial" w:hAnsi="Arial" w:cs="Arial"/>
          <w:sz w:val="24"/>
          <w:szCs w:val="24"/>
        </w:rPr>
        <w:t xml:space="preserve"> </w:t>
      </w:r>
      <w:r w:rsidR="00496CF2" w:rsidRPr="00AF652D">
        <w:rPr>
          <w:rFonts w:ascii="Arial" w:hAnsi="Arial" w:cs="Arial"/>
          <w:sz w:val="24"/>
          <w:szCs w:val="24"/>
        </w:rPr>
        <w:t xml:space="preserve">So the purpose of this benefit is to </w:t>
      </w:r>
      <w:r w:rsidR="006E6913" w:rsidRPr="00AF652D">
        <w:rPr>
          <w:rFonts w:ascii="Arial" w:hAnsi="Arial" w:cs="Arial"/>
          <w:sz w:val="24"/>
          <w:szCs w:val="24"/>
        </w:rPr>
        <w:t xml:space="preserve">assist the transition to open labour market for workers employed in PWS. </w:t>
      </w:r>
    </w:p>
    <w:p w:rsidR="00B86F30" w:rsidRPr="00AF652D" w:rsidRDefault="006F5221" w:rsidP="00AB2326">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 xml:space="preserve">In the framework of accredited </w:t>
      </w:r>
      <w:proofErr w:type="gramStart"/>
      <w:r w:rsidRPr="00AF652D">
        <w:rPr>
          <w:rFonts w:ascii="Arial" w:hAnsi="Arial" w:cs="Arial"/>
          <w:sz w:val="24"/>
          <w:szCs w:val="24"/>
        </w:rPr>
        <w:t>employment</w:t>
      </w:r>
      <w:proofErr w:type="gramEnd"/>
      <w:r w:rsidRPr="00AF652D">
        <w:rPr>
          <w:rFonts w:ascii="Arial" w:hAnsi="Arial" w:cs="Arial"/>
          <w:sz w:val="24"/>
          <w:szCs w:val="24"/>
        </w:rPr>
        <w:t xml:space="preserve"> the employer may agree with another employer </w:t>
      </w:r>
      <w:r w:rsidR="003F2728" w:rsidRPr="00AF652D">
        <w:rPr>
          <w:rFonts w:ascii="Arial" w:hAnsi="Arial" w:cs="Arial"/>
          <w:sz w:val="24"/>
          <w:szCs w:val="24"/>
        </w:rPr>
        <w:t>in the open labou</w:t>
      </w:r>
      <w:r w:rsidR="00D12816" w:rsidRPr="00AF652D">
        <w:rPr>
          <w:rFonts w:ascii="Arial" w:hAnsi="Arial" w:cs="Arial"/>
          <w:sz w:val="24"/>
          <w:szCs w:val="24"/>
        </w:rPr>
        <w:t>r market (“recipient</w:t>
      </w:r>
      <w:r w:rsidR="003F2728" w:rsidRPr="00AF652D">
        <w:rPr>
          <w:rFonts w:ascii="Arial" w:hAnsi="Arial" w:cs="Arial"/>
          <w:sz w:val="24"/>
          <w:szCs w:val="24"/>
        </w:rPr>
        <w:t xml:space="preserve"> employer”) that a client in transit employment scheme is posted to </w:t>
      </w:r>
      <w:r w:rsidR="004B2A1A" w:rsidRPr="00AF652D">
        <w:rPr>
          <w:rFonts w:ascii="Arial" w:hAnsi="Arial" w:cs="Arial"/>
          <w:sz w:val="24"/>
          <w:szCs w:val="24"/>
        </w:rPr>
        <w:t xml:space="preserve">a </w:t>
      </w:r>
      <w:r w:rsidR="00D12816" w:rsidRPr="00AF652D">
        <w:rPr>
          <w:rFonts w:ascii="Arial" w:hAnsi="Arial" w:cs="Arial"/>
          <w:sz w:val="24"/>
          <w:szCs w:val="24"/>
        </w:rPr>
        <w:t>probation period to the recipient</w:t>
      </w:r>
      <w:r w:rsidR="004B2A1A" w:rsidRPr="00AF652D">
        <w:rPr>
          <w:rFonts w:ascii="Arial" w:hAnsi="Arial" w:cs="Arial"/>
          <w:sz w:val="24"/>
          <w:szCs w:val="24"/>
        </w:rPr>
        <w:t xml:space="preserve"> employer (“work probation”). Work probation can take place more times, however the total duration may not exceed 4 months. </w:t>
      </w:r>
      <w:r w:rsidR="00693AA0" w:rsidRPr="00AF652D">
        <w:rPr>
          <w:rFonts w:ascii="Arial" w:hAnsi="Arial" w:cs="Arial"/>
          <w:sz w:val="24"/>
          <w:szCs w:val="24"/>
        </w:rPr>
        <w:t>Employment s</w:t>
      </w:r>
      <w:r w:rsidR="004B2A1A" w:rsidRPr="00AF652D">
        <w:rPr>
          <w:rFonts w:ascii="Arial" w:hAnsi="Arial" w:cs="Arial"/>
          <w:sz w:val="24"/>
          <w:szCs w:val="24"/>
        </w:rPr>
        <w:t>ubsidies</w:t>
      </w:r>
      <w:r w:rsidR="00693AA0" w:rsidRPr="00AF652D">
        <w:rPr>
          <w:rFonts w:ascii="Arial" w:hAnsi="Arial" w:cs="Arial"/>
          <w:sz w:val="24"/>
          <w:szCs w:val="24"/>
        </w:rPr>
        <w:t>, with some specific exceptions,</w:t>
      </w:r>
      <w:r w:rsidR="00AE420E" w:rsidRPr="00AF652D">
        <w:rPr>
          <w:rFonts w:ascii="Arial" w:hAnsi="Arial" w:cs="Arial"/>
          <w:sz w:val="24"/>
          <w:szCs w:val="24"/>
        </w:rPr>
        <w:t xml:space="preserve"> </w:t>
      </w:r>
      <w:r w:rsidR="00693AA0" w:rsidRPr="00AF652D">
        <w:rPr>
          <w:rFonts w:ascii="Arial" w:hAnsi="Arial" w:cs="Arial"/>
          <w:sz w:val="24"/>
          <w:szCs w:val="24"/>
        </w:rPr>
        <w:t>are granted for the employer during the working probation as well.</w:t>
      </w:r>
      <w:r w:rsidR="00F278E8" w:rsidRPr="00AF652D">
        <w:rPr>
          <w:rStyle w:val="FootnoteReference"/>
          <w:rFonts w:ascii="Arial" w:hAnsi="Arial" w:cs="Arial"/>
          <w:sz w:val="24"/>
          <w:szCs w:val="24"/>
        </w:rPr>
        <w:footnoteReference w:id="100"/>
      </w:r>
    </w:p>
    <w:p w:rsidR="00AF652D" w:rsidRPr="00082E2C" w:rsidRDefault="00DB79E1" w:rsidP="00AF652D">
      <w:pPr>
        <w:pStyle w:val="ListParagraph"/>
        <w:numPr>
          <w:ilvl w:val="0"/>
          <w:numId w:val="29"/>
        </w:numPr>
        <w:tabs>
          <w:tab w:val="left" w:pos="2694"/>
        </w:tabs>
        <w:spacing w:after="0" w:line="240" w:lineRule="auto"/>
        <w:ind w:left="567" w:hanging="567"/>
        <w:jc w:val="both"/>
        <w:rPr>
          <w:rFonts w:ascii="Arial" w:hAnsi="Arial" w:cs="Arial"/>
          <w:sz w:val="24"/>
          <w:szCs w:val="24"/>
        </w:rPr>
      </w:pPr>
      <w:r w:rsidRPr="00AF652D">
        <w:rPr>
          <w:rFonts w:ascii="Arial" w:hAnsi="Arial" w:cs="Arial"/>
          <w:sz w:val="24"/>
          <w:szCs w:val="24"/>
        </w:rPr>
        <w:t>Wage cost s</w:t>
      </w:r>
      <w:r w:rsidR="000961AE" w:rsidRPr="00AF652D">
        <w:rPr>
          <w:rFonts w:ascii="Arial" w:hAnsi="Arial" w:cs="Arial"/>
          <w:sz w:val="24"/>
          <w:szCs w:val="24"/>
        </w:rPr>
        <w:t xml:space="preserve">ubsidies are available for employers </w:t>
      </w:r>
      <w:r w:rsidR="00E07B85" w:rsidRPr="00AF652D">
        <w:rPr>
          <w:rFonts w:ascii="Arial" w:hAnsi="Arial" w:cs="Arial"/>
          <w:sz w:val="24"/>
          <w:szCs w:val="24"/>
        </w:rPr>
        <w:t xml:space="preserve">in </w:t>
      </w:r>
      <w:r w:rsidR="00774A2D" w:rsidRPr="00AF652D">
        <w:rPr>
          <w:rFonts w:ascii="Arial" w:hAnsi="Arial" w:cs="Arial"/>
          <w:sz w:val="24"/>
          <w:szCs w:val="24"/>
        </w:rPr>
        <w:t xml:space="preserve">various employment incentive schemes, such as the </w:t>
      </w:r>
      <w:r w:rsidR="00E07B85" w:rsidRPr="00AF652D">
        <w:rPr>
          <w:rFonts w:ascii="Arial" w:hAnsi="Arial" w:cs="Arial"/>
          <w:sz w:val="24"/>
          <w:szCs w:val="24"/>
        </w:rPr>
        <w:t xml:space="preserve">PWS, the accredited employment, </w:t>
      </w:r>
      <w:r w:rsidRPr="00AF652D">
        <w:rPr>
          <w:rFonts w:ascii="Arial" w:hAnsi="Arial" w:cs="Arial"/>
          <w:sz w:val="24"/>
          <w:szCs w:val="24"/>
        </w:rPr>
        <w:t xml:space="preserve">the </w:t>
      </w:r>
      <w:r w:rsidR="00E07B85" w:rsidRPr="00AF652D">
        <w:rPr>
          <w:rFonts w:ascii="Arial" w:hAnsi="Arial" w:cs="Arial"/>
          <w:sz w:val="24"/>
          <w:szCs w:val="24"/>
        </w:rPr>
        <w:t>supported employment funded by EU operational programmes</w:t>
      </w:r>
      <w:r w:rsidRPr="00AF652D">
        <w:rPr>
          <w:rFonts w:ascii="Arial" w:hAnsi="Arial" w:cs="Arial"/>
          <w:sz w:val="24"/>
          <w:szCs w:val="24"/>
        </w:rPr>
        <w:t xml:space="preserve">, the rehabilitation card and </w:t>
      </w:r>
      <w:r w:rsidR="00774A2D" w:rsidRPr="00AF652D">
        <w:rPr>
          <w:rFonts w:ascii="Arial" w:hAnsi="Arial" w:cs="Arial"/>
          <w:sz w:val="24"/>
          <w:szCs w:val="24"/>
        </w:rPr>
        <w:t xml:space="preserve">the </w:t>
      </w:r>
      <w:r w:rsidRPr="00AF652D">
        <w:rPr>
          <w:rFonts w:ascii="Arial" w:hAnsi="Arial" w:cs="Arial"/>
          <w:sz w:val="24"/>
          <w:szCs w:val="24"/>
        </w:rPr>
        <w:t xml:space="preserve">supporting </w:t>
      </w:r>
      <w:r w:rsidR="00774A2D" w:rsidRPr="00AF652D">
        <w:rPr>
          <w:rFonts w:ascii="Arial" w:hAnsi="Arial" w:cs="Arial"/>
          <w:sz w:val="24"/>
          <w:szCs w:val="24"/>
        </w:rPr>
        <w:t xml:space="preserve">of </w:t>
      </w:r>
      <w:r w:rsidRPr="00AF652D">
        <w:rPr>
          <w:rFonts w:ascii="Arial" w:hAnsi="Arial" w:cs="Arial"/>
          <w:sz w:val="24"/>
          <w:szCs w:val="24"/>
        </w:rPr>
        <w:t xml:space="preserve">non-accredited </w:t>
      </w:r>
      <w:r w:rsidR="00774A2D" w:rsidRPr="00AF652D">
        <w:rPr>
          <w:rFonts w:ascii="Arial" w:hAnsi="Arial" w:cs="Arial"/>
          <w:sz w:val="24"/>
          <w:szCs w:val="24"/>
        </w:rPr>
        <w:t>employers hiring persons with reduced working abilities. These schemes are described in detail under section 2.1.</w:t>
      </w:r>
    </w:p>
    <w:p w:rsidR="00020C3C" w:rsidRPr="00AF652D" w:rsidRDefault="00020C3C" w:rsidP="00AB2326">
      <w:pPr>
        <w:pStyle w:val="Heading2"/>
        <w:tabs>
          <w:tab w:val="left" w:pos="2694"/>
        </w:tabs>
        <w:rPr>
          <w:rFonts w:cs="Arial"/>
          <w:szCs w:val="24"/>
        </w:rPr>
      </w:pPr>
      <w:r w:rsidRPr="00AF652D">
        <w:rPr>
          <w:rFonts w:cs="Arial"/>
          <w:szCs w:val="24"/>
        </w:rPr>
        <w:lastRenderedPageBreak/>
        <w:t>Example of good practice (avoiding ‘benefit traps’ or ‘making work pay’)</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Can you identify an example of promising practice in your country that might help other countries to ease the transition from benefits to work for persons with disabilities, and to avoid benefit traps?</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793125" w:rsidP="00AB2326">
      <w:pPr>
        <w:tabs>
          <w:tab w:val="left" w:pos="2694"/>
        </w:tabs>
        <w:spacing w:after="0" w:line="240" w:lineRule="auto"/>
        <w:rPr>
          <w:rFonts w:ascii="Arial" w:hAnsi="Arial" w:cs="Arial"/>
          <w:sz w:val="24"/>
          <w:szCs w:val="24"/>
        </w:rPr>
      </w:pPr>
      <w:r w:rsidRPr="00AF652D">
        <w:rPr>
          <w:rFonts w:ascii="Arial" w:hAnsi="Arial" w:cs="Arial"/>
          <w:sz w:val="24"/>
          <w:szCs w:val="24"/>
        </w:rPr>
        <w:t>All examples listed at section 2.9. can be referred here as well.</w:t>
      </w:r>
    </w:p>
    <w:p w:rsidR="00C05172" w:rsidRPr="00AF652D" w:rsidRDefault="00C05172" w:rsidP="00AB2326">
      <w:pPr>
        <w:tabs>
          <w:tab w:val="left" w:pos="2694"/>
        </w:tabs>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C05172" w:rsidRPr="00AF652D" w:rsidRDefault="00C05172" w:rsidP="00AB2326">
      <w:pPr>
        <w:spacing w:after="0" w:line="240" w:lineRule="auto"/>
        <w:rPr>
          <w:rFonts w:ascii="Arial" w:hAnsi="Arial" w:cs="Arial"/>
          <w:sz w:val="24"/>
          <w:szCs w:val="24"/>
        </w:rPr>
      </w:pPr>
    </w:p>
    <w:p w:rsidR="00020C3C" w:rsidRPr="00AF652D" w:rsidRDefault="00020C3C" w:rsidP="00AB2326">
      <w:pPr>
        <w:spacing w:after="0" w:line="240" w:lineRule="auto"/>
        <w:rPr>
          <w:rFonts w:ascii="Arial" w:hAnsi="Arial" w:cs="Arial"/>
          <w:sz w:val="24"/>
          <w:szCs w:val="24"/>
        </w:rPr>
      </w:pPr>
    </w:p>
    <w:p w:rsidR="00020C3C" w:rsidRPr="00AF652D" w:rsidRDefault="00020C3C" w:rsidP="00AB2326">
      <w:pPr>
        <w:pStyle w:val="Heading1"/>
        <w:tabs>
          <w:tab w:val="left" w:pos="2694"/>
        </w:tabs>
        <w:rPr>
          <w:rFonts w:cs="Arial"/>
          <w:szCs w:val="24"/>
        </w:rPr>
      </w:pPr>
      <w:bookmarkStart w:id="4" w:name="_Toc500858522"/>
      <w:r w:rsidRPr="00AF652D">
        <w:rPr>
          <w:rFonts w:cs="Arial"/>
          <w:szCs w:val="24"/>
        </w:rPr>
        <w:lastRenderedPageBreak/>
        <w:t>Accessible housing</w:t>
      </w:r>
      <w:bookmarkEnd w:id="4"/>
      <w:r w:rsidRPr="00AF652D">
        <w:rPr>
          <w:rFonts w:cs="Arial"/>
          <w:szCs w:val="24"/>
        </w:rPr>
        <w:t xml:space="preserve"> </w:t>
      </w:r>
    </w:p>
    <w:p w:rsidR="00020C3C" w:rsidRPr="00AF652D" w:rsidRDefault="00020C3C"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Relevant law and policy</w:t>
      </w:r>
    </w:p>
    <w:p w:rsidR="00020C3C" w:rsidRPr="00AF652D" w:rsidRDefault="00020C3C" w:rsidP="00AB2326">
      <w:pPr>
        <w:tabs>
          <w:tab w:val="left" w:pos="2694"/>
        </w:tabs>
        <w:spacing w:after="0" w:line="240" w:lineRule="auto"/>
        <w:rPr>
          <w:rFonts w:ascii="Arial" w:hAnsi="Arial" w:cs="Arial"/>
          <w:i/>
          <w:sz w:val="24"/>
          <w:szCs w:val="24"/>
        </w:rPr>
      </w:pPr>
    </w:p>
    <w:p w:rsidR="00ED2950" w:rsidRPr="00AF652D" w:rsidRDefault="00ED2950" w:rsidP="00AB2326">
      <w:p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Is there any definition of ‘accessible housing’ in national law or policy?</w:t>
      </w:r>
    </w:p>
    <w:p w:rsidR="00ED2950" w:rsidRPr="00AF652D" w:rsidRDefault="00ED2950" w:rsidP="00AB2326">
      <w:pPr>
        <w:pStyle w:val="ListParagraph"/>
        <w:numPr>
          <w:ilvl w:val="0"/>
          <w:numId w:val="1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If so, what is that? It is not necessary to provide us with detailed technical information about the accessibility standards.</w:t>
      </w:r>
    </w:p>
    <w:p w:rsidR="00ED2950" w:rsidRPr="00AF652D" w:rsidRDefault="00ED2950" w:rsidP="00AB2326">
      <w:pPr>
        <w:pStyle w:val="ListParagraph"/>
        <w:numPr>
          <w:ilvl w:val="0"/>
          <w:numId w:val="1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Are there any rules / requirements regarding the accessibility of newly built houses?</w:t>
      </w:r>
      <w:r w:rsidR="00C20502" w:rsidRPr="00AF652D">
        <w:rPr>
          <w:rFonts w:ascii="Arial" w:hAnsi="Arial" w:cs="Arial"/>
          <w:i/>
          <w:sz w:val="24"/>
          <w:szCs w:val="24"/>
        </w:rPr>
        <w:t xml:space="preserve"> </w:t>
      </w:r>
    </w:p>
    <w:p w:rsidR="00ED2950" w:rsidRPr="00AF652D" w:rsidRDefault="00ED2950" w:rsidP="00AB2326">
      <w:pPr>
        <w:pStyle w:val="ListParagraph"/>
        <w:numPr>
          <w:ilvl w:val="0"/>
          <w:numId w:val="1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Are there any rules / requirements regarding newly refurbished houses?</w:t>
      </w:r>
      <w:r w:rsidR="00C20502" w:rsidRPr="00AF652D">
        <w:rPr>
          <w:rFonts w:ascii="Arial" w:hAnsi="Arial" w:cs="Arial"/>
          <w:i/>
          <w:sz w:val="24"/>
          <w:szCs w:val="24"/>
        </w:rPr>
        <w:t xml:space="preserve"> </w:t>
      </w:r>
    </w:p>
    <w:p w:rsidR="00ED2950" w:rsidRPr="00AF652D" w:rsidRDefault="00ED2950" w:rsidP="00AB2326">
      <w:pPr>
        <w:pStyle w:val="ListParagraph"/>
        <w:numPr>
          <w:ilvl w:val="0"/>
          <w:numId w:val="14"/>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 xml:space="preserve">Do these rules / requirements apply to the private sector, to social housing, or both? </w:t>
      </w:r>
    </w:p>
    <w:p w:rsidR="00020C3C" w:rsidRPr="00AF652D" w:rsidRDefault="00020C3C" w:rsidP="00AB2326">
      <w:pPr>
        <w:tabs>
          <w:tab w:val="left" w:pos="2694"/>
        </w:tabs>
        <w:spacing w:after="0" w:line="240" w:lineRule="auto"/>
        <w:rPr>
          <w:rFonts w:ascii="Arial" w:hAnsi="Arial" w:cs="Arial"/>
          <w:sz w:val="24"/>
          <w:szCs w:val="24"/>
        </w:rPr>
      </w:pPr>
    </w:p>
    <w:p w:rsidR="00F47C9D" w:rsidRPr="00AF652D" w:rsidRDefault="00071FE8"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Act LXX</w:t>
      </w:r>
      <w:r w:rsidR="00F47C9D" w:rsidRPr="00AF652D">
        <w:rPr>
          <w:rFonts w:ascii="Arial" w:hAnsi="Arial" w:cs="Arial"/>
          <w:sz w:val="24"/>
          <w:szCs w:val="24"/>
        </w:rPr>
        <w:t xml:space="preserve">VIII of 1997 on </w:t>
      </w:r>
      <w:r w:rsidR="00052CDD" w:rsidRPr="00AF652D">
        <w:rPr>
          <w:rFonts w:ascii="Arial" w:hAnsi="Arial" w:cs="Arial"/>
          <w:sz w:val="24"/>
          <w:szCs w:val="24"/>
        </w:rPr>
        <w:t xml:space="preserve">the formation and the protection of built environment </w:t>
      </w:r>
      <w:r w:rsidR="00A83C0A" w:rsidRPr="00AF652D">
        <w:rPr>
          <w:rFonts w:ascii="Arial" w:hAnsi="Arial" w:cs="Arial"/>
          <w:sz w:val="24"/>
          <w:szCs w:val="24"/>
        </w:rPr>
        <w:t>(hereinafter: FPBE Act)</w:t>
      </w:r>
      <w:r w:rsidRPr="00AF652D">
        <w:rPr>
          <w:rStyle w:val="FootnoteReference"/>
          <w:rFonts w:ascii="Arial" w:hAnsi="Arial" w:cs="Arial"/>
          <w:sz w:val="24"/>
          <w:szCs w:val="24"/>
        </w:rPr>
        <w:footnoteReference w:id="101"/>
      </w:r>
      <w:r w:rsidR="008E666D" w:rsidRPr="00AF652D">
        <w:rPr>
          <w:rFonts w:ascii="Arial" w:hAnsi="Arial" w:cs="Arial"/>
          <w:sz w:val="24"/>
          <w:szCs w:val="24"/>
        </w:rPr>
        <w:t xml:space="preserve"> </w:t>
      </w:r>
      <w:r w:rsidR="00052CDD" w:rsidRPr="00AF652D">
        <w:rPr>
          <w:rFonts w:ascii="Arial" w:hAnsi="Arial" w:cs="Arial"/>
          <w:sz w:val="24"/>
          <w:szCs w:val="24"/>
        </w:rPr>
        <w:t>defines the concept of accessibility:</w:t>
      </w:r>
      <w:r w:rsidR="00B54F70" w:rsidRPr="00AF652D">
        <w:rPr>
          <w:rFonts w:ascii="Arial" w:hAnsi="Arial" w:cs="Arial"/>
          <w:sz w:val="24"/>
          <w:szCs w:val="24"/>
        </w:rPr>
        <w:t xml:space="preserve"> “the built environment shall be considered accessible if convenient, safe and independent use of such areas is ensured for all persons, including handicapped persons or groups for whom special equipment or technical solutions are required”.</w:t>
      </w:r>
      <w:r w:rsidR="005758AB" w:rsidRPr="00AF652D">
        <w:rPr>
          <w:rStyle w:val="FootnoteReference"/>
          <w:rFonts w:ascii="Arial" w:hAnsi="Arial" w:cs="Arial"/>
          <w:sz w:val="24"/>
          <w:szCs w:val="24"/>
        </w:rPr>
        <w:footnoteReference w:id="102"/>
      </w:r>
      <w:r w:rsidR="00397BAB" w:rsidRPr="00AF652D">
        <w:rPr>
          <w:rFonts w:ascii="Arial" w:hAnsi="Arial" w:cs="Arial"/>
          <w:sz w:val="24"/>
          <w:szCs w:val="24"/>
        </w:rPr>
        <w:t xml:space="preserve"> So there is a definition of 'accessibility', but 'accessible housing' as a term is not defined. </w:t>
      </w:r>
      <w:r w:rsidR="00B54F70" w:rsidRPr="00AF652D">
        <w:rPr>
          <w:rFonts w:ascii="Arial" w:hAnsi="Arial" w:cs="Arial"/>
          <w:sz w:val="24"/>
          <w:szCs w:val="24"/>
        </w:rPr>
        <w:t xml:space="preserve">The material scope of </w:t>
      </w:r>
      <w:r w:rsidR="00782ADA" w:rsidRPr="00AF652D">
        <w:rPr>
          <w:rFonts w:ascii="Arial" w:hAnsi="Arial" w:cs="Arial"/>
          <w:sz w:val="24"/>
          <w:szCs w:val="24"/>
        </w:rPr>
        <w:t>this act includes the architectural and engineering planning and construction of structures.</w:t>
      </w:r>
      <w:r w:rsidR="005758AB" w:rsidRPr="00AF652D">
        <w:rPr>
          <w:rStyle w:val="FootnoteReference"/>
          <w:rFonts w:ascii="Arial" w:hAnsi="Arial" w:cs="Arial"/>
          <w:sz w:val="24"/>
          <w:szCs w:val="24"/>
        </w:rPr>
        <w:footnoteReference w:id="103"/>
      </w:r>
      <w:r w:rsidR="008E666D" w:rsidRPr="00AF652D">
        <w:rPr>
          <w:rFonts w:ascii="Arial" w:hAnsi="Arial" w:cs="Arial"/>
          <w:sz w:val="24"/>
          <w:szCs w:val="24"/>
        </w:rPr>
        <w:t xml:space="preserve"> </w:t>
      </w:r>
      <w:r w:rsidR="00A83C0A" w:rsidRPr="00AF652D">
        <w:rPr>
          <w:rFonts w:ascii="Arial" w:hAnsi="Arial" w:cs="Arial"/>
          <w:sz w:val="24"/>
          <w:szCs w:val="24"/>
        </w:rPr>
        <w:t xml:space="preserve">However, the FPBE Act lays down the requirement of accessibility exclusively in </w:t>
      </w:r>
      <w:r w:rsidR="001E14AC" w:rsidRPr="00AF652D">
        <w:rPr>
          <w:rFonts w:ascii="Arial" w:hAnsi="Arial" w:cs="Arial"/>
          <w:sz w:val="24"/>
          <w:szCs w:val="24"/>
        </w:rPr>
        <w:t>terms of public buildings</w:t>
      </w:r>
      <w:r w:rsidR="005758AB" w:rsidRPr="00AF652D">
        <w:rPr>
          <w:rFonts w:ascii="Arial" w:hAnsi="Arial" w:cs="Arial"/>
          <w:sz w:val="24"/>
          <w:szCs w:val="24"/>
        </w:rPr>
        <w:t>.</w:t>
      </w:r>
      <w:r w:rsidR="005758AB" w:rsidRPr="00AF652D">
        <w:rPr>
          <w:rStyle w:val="FootnoteReference"/>
          <w:rFonts w:ascii="Arial" w:hAnsi="Arial" w:cs="Arial"/>
          <w:sz w:val="24"/>
          <w:szCs w:val="24"/>
        </w:rPr>
        <w:footnoteReference w:id="104"/>
      </w:r>
      <w:r w:rsidR="0029754A" w:rsidRPr="00AF652D">
        <w:rPr>
          <w:rFonts w:ascii="Arial" w:hAnsi="Arial" w:cs="Arial"/>
          <w:sz w:val="24"/>
          <w:szCs w:val="24"/>
        </w:rPr>
        <w:t xml:space="preserve"> S</w:t>
      </w:r>
      <w:r w:rsidR="003960A9" w:rsidRPr="00AF652D">
        <w:rPr>
          <w:rFonts w:ascii="Arial" w:hAnsi="Arial" w:cs="Arial"/>
          <w:sz w:val="24"/>
          <w:szCs w:val="24"/>
        </w:rPr>
        <w:t>o the planning and construction</w:t>
      </w:r>
      <w:r w:rsidR="0029754A" w:rsidRPr="00AF652D">
        <w:rPr>
          <w:rFonts w:ascii="Arial" w:hAnsi="Arial" w:cs="Arial"/>
          <w:sz w:val="24"/>
          <w:szCs w:val="24"/>
        </w:rPr>
        <w:t xml:space="preserve"> of private buildings are not subject to the requirement of accessibility.</w:t>
      </w:r>
    </w:p>
    <w:p w:rsidR="0029754A" w:rsidRPr="00AF652D" w:rsidRDefault="0029754A" w:rsidP="00AB2326">
      <w:pPr>
        <w:tabs>
          <w:tab w:val="left" w:pos="2694"/>
        </w:tabs>
        <w:spacing w:after="0" w:line="240" w:lineRule="auto"/>
        <w:rPr>
          <w:rFonts w:ascii="Arial" w:hAnsi="Arial" w:cs="Arial"/>
          <w:sz w:val="24"/>
          <w:szCs w:val="24"/>
        </w:rPr>
      </w:pPr>
    </w:p>
    <w:p w:rsidR="0029754A" w:rsidRPr="00AF652D" w:rsidRDefault="008938D6"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Residents with disabilities of specific social institutions are in a better situation in this aspect than </w:t>
      </w:r>
      <w:r w:rsidR="004C3F37" w:rsidRPr="00AF652D">
        <w:rPr>
          <w:rFonts w:ascii="Arial" w:hAnsi="Arial" w:cs="Arial"/>
          <w:sz w:val="24"/>
          <w:szCs w:val="24"/>
        </w:rPr>
        <w:t xml:space="preserve">other persons with disabilities. </w:t>
      </w:r>
      <w:r w:rsidR="00B429EE" w:rsidRPr="00AF652D">
        <w:rPr>
          <w:rFonts w:ascii="Arial" w:hAnsi="Arial" w:cs="Arial"/>
          <w:sz w:val="24"/>
          <w:szCs w:val="24"/>
        </w:rPr>
        <w:t>A fundamental precondition of issuing or</w:t>
      </w:r>
      <w:r w:rsidR="00511F7F" w:rsidRPr="00AF652D">
        <w:rPr>
          <w:rFonts w:ascii="Arial" w:hAnsi="Arial" w:cs="Arial"/>
          <w:sz w:val="24"/>
          <w:szCs w:val="24"/>
        </w:rPr>
        <w:t xml:space="preserve"> approval of </w:t>
      </w:r>
      <w:r w:rsidR="00574A50" w:rsidRPr="00AF652D">
        <w:rPr>
          <w:rFonts w:ascii="Arial" w:hAnsi="Arial" w:cs="Arial"/>
          <w:sz w:val="24"/>
          <w:szCs w:val="24"/>
        </w:rPr>
        <w:t xml:space="preserve">the operating licence of </w:t>
      </w:r>
      <w:r w:rsidR="00511F7F" w:rsidRPr="00AF652D">
        <w:rPr>
          <w:rFonts w:ascii="Arial" w:hAnsi="Arial" w:cs="Arial"/>
          <w:sz w:val="24"/>
          <w:szCs w:val="24"/>
        </w:rPr>
        <w:t>any</w:t>
      </w:r>
      <w:r w:rsidR="00AE420E" w:rsidRPr="00AF652D">
        <w:rPr>
          <w:rFonts w:ascii="Arial" w:hAnsi="Arial" w:cs="Arial"/>
          <w:sz w:val="24"/>
          <w:szCs w:val="24"/>
        </w:rPr>
        <w:t xml:space="preserve"> </w:t>
      </w:r>
      <w:r w:rsidR="00C34558" w:rsidRPr="00AF652D">
        <w:rPr>
          <w:rFonts w:ascii="Arial" w:hAnsi="Arial" w:cs="Arial"/>
          <w:sz w:val="24"/>
          <w:szCs w:val="24"/>
        </w:rPr>
        <w:t>social institution</w:t>
      </w:r>
      <w:r w:rsidR="00AE420E" w:rsidRPr="00AF652D">
        <w:rPr>
          <w:rFonts w:ascii="Arial" w:hAnsi="Arial" w:cs="Arial"/>
          <w:sz w:val="24"/>
          <w:szCs w:val="24"/>
        </w:rPr>
        <w:t xml:space="preserve"> </w:t>
      </w:r>
      <w:r w:rsidR="008E6518" w:rsidRPr="00AF652D">
        <w:rPr>
          <w:rFonts w:ascii="Arial" w:hAnsi="Arial" w:cs="Arial"/>
          <w:sz w:val="24"/>
          <w:szCs w:val="24"/>
        </w:rPr>
        <w:t xml:space="preserve">is the guaranteeing of the accessibility of the building. Both outdated, large residential institutions and </w:t>
      </w:r>
      <w:r w:rsidR="00F650E3" w:rsidRPr="00AF652D">
        <w:rPr>
          <w:rFonts w:ascii="Arial" w:hAnsi="Arial" w:cs="Arial"/>
          <w:sz w:val="24"/>
          <w:szCs w:val="24"/>
        </w:rPr>
        <w:t>modern, community-based forms of supported living are covered by these provisions.</w:t>
      </w:r>
      <w:r w:rsidR="00F650E3" w:rsidRPr="00AF652D">
        <w:rPr>
          <w:rStyle w:val="FootnoteReference"/>
          <w:rFonts w:ascii="Arial" w:hAnsi="Arial" w:cs="Arial"/>
          <w:sz w:val="24"/>
          <w:szCs w:val="24"/>
        </w:rPr>
        <w:footnoteReference w:id="105"/>
      </w:r>
    </w:p>
    <w:p w:rsidR="00F47C9D" w:rsidRPr="00AF652D" w:rsidRDefault="00F47C9D"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Housing in multiple occupation (communal areas)</w:t>
      </w:r>
    </w:p>
    <w:p w:rsidR="00020C3C" w:rsidRPr="00AF652D" w:rsidRDefault="00020C3C" w:rsidP="00AB2326">
      <w:pPr>
        <w:tabs>
          <w:tab w:val="left" w:pos="2694"/>
        </w:tabs>
        <w:spacing w:after="0" w:line="240" w:lineRule="auto"/>
        <w:rPr>
          <w:rFonts w:ascii="Arial" w:hAnsi="Arial" w:cs="Arial"/>
          <w:sz w:val="24"/>
          <w:szCs w:val="24"/>
        </w:rPr>
      </w:pPr>
    </w:p>
    <w:p w:rsidR="00ED2950" w:rsidRPr="00AF652D" w:rsidRDefault="00ED2950" w:rsidP="00AB2326">
      <w:pPr>
        <w:tabs>
          <w:tab w:val="left" w:pos="2694"/>
        </w:tabs>
        <w:spacing w:after="0" w:line="240" w:lineRule="auto"/>
        <w:rPr>
          <w:rFonts w:ascii="Arial" w:hAnsi="Arial" w:cs="Arial"/>
          <w:i/>
          <w:sz w:val="24"/>
          <w:szCs w:val="24"/>
        </w:rPr>
      </w:pPr>
      <w:r w:rsidRPr="00AF652D">
        <w:rPr>
          <w:rFonts w:ascii="Arial" w:hAnsi="Arial" w:cs="Arial"/>
          <w:i/>
          <w:sz w:val="24"/>
          <w:szCs w:val="24"/>
        </w:rPr>
        <w:t xml:space="preserve">In multi-occupied housing (e.g. apartment buildings) is there an obligation to make accessible the communal part of buildings (e.g. entrances and other communal areas)? </w:t>
      </w:r>
    </w:p>
    <w:p w:rsidR="00ED2950" w:rsidRPr="00AF652D" w:rsidRDefault="00ED2950" w:rsidP="00AB2326">
      <w:pPr>
        <w:pStyle w:val="ListParagraph"/>
        <w:numPr>
          <w:ilvl w:val="0"/>
          <w:numId w:val="15"/>
        </w:numPr>
        <w:tabs>
          <w:tab w:val="left" w:pos="2694"/>
        </w:tabs>
        <w:spacing w:after="0" w:line="240" w:lineRule="auto"/>
        <w:ind w:left="567" w:hanging="567"/>
        <w:rPr>
          <w:rFonts w:ascii="Arial" w:hAnsi="Arial" w:cs="Arial"/>
          <w:i/>
          <w:sz w:val="24"/>
          <w:szCs w:val="24"/>
        </w:rPr>
      </w:pPr>
      <w:r w:rsidRPr="00AF652D">
        <w:rPr>
          <w:rFonts w:ascii="Arial" w:hAnsi="Arial" w:cs="Arial"/>
          <w:i/>
          <w:sz w:val="24"/>
          <w:szCs w:val="24"/>
        </w:rPr>
        <w:t>Who does this obligation fall on? How is it triggered? Is there funding to support such adaptions?</w:t>
      </w:r>
    </w:p>
    <w:p w:rsidR="00020C3C" w:rsidRPr="00AF652D" w:rsidRDefault="00020C3C" w:rsidP="00AB2326">
      <w:pPr>
        <w:tabs>
          <w:tab w:val="left" w:pos="2694"/>
        </w:tabs>
        <w:spacing w:after="0" w:line="240" w:lineRule="auto"/>
        <w:rPr>
          <w:rFonts w:ascii="Arial" w:hAnsi="Arial" w:cs="Arial"/>
          <w:sz w:val="24"/>
          <w:szCs w:val="24"/>
        </w:rPr>
      </w:pPr>
    </w:p>
    <w:p w:rsidR="00EF15F7" w:rsidRPr="00AF652D" w:rsidRDefault="00EF15F7"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As referred in the previous section, the planning and </w:t>
      </w:r>
      <w:r w:rsidR="00154206" w:rsidRPr="00AF652D">
        <w:rPr>
          <w:rFonts w:ascii="Arial" w:hAnsi="Arial" w:cs="Arial"/>
          <w:sz w:val="24"/>
          <w:szCs w:val="24"/>
        </w:rPr>
        <w:t>the construction</w:t>
      </w:r>
      <w:r w:rsidRPr="00AF652D">
        <w:rPr>
          <w:rFonts w:ascii="Arial" w:hAnsi="Arial" w:cs="Arial"/>
          <w:sz w:val="24"/>
          <w:szCs w:val="24"/>
        </w:rPr>
        <w:t xml:space="preserve"> of private buildings are not subject to the requirement of accessibility.</w:t>
      </w:r>
    </w:p>
    <w:p w:rsidR="00EF15F7" w:rsidRPr="00AF652D" w:rsidRDefault="00EF15F7" w:rsidP="00AB2326">
      <w:pPr>
        <w:tabs>
          <w:tab w:val="left" w:pos="2694"/>
        </w:tabs>
        <w:spacing w:after="0" w:line="240" w:lineRule="auto"/>
        <w:rPr>
          <w:rFonts w:ascii="Arial" w:hAnsi="Arial" w:cs="Arial"/>
          <w:sz w:val="24"/>
          <w:szCs w:val="24"/>
        </w:rPr>
      </w:pPr>
    </w:p>
    <w:p w:rsidR="00FE6789" w:rsidRPr="00AF652D" w:rsidRDefault="00C60858" w:rsidP="00AB2326">
      <w:pPr>
        <w:tabs>
          <w:tab w:val="left" w:pos="2694"/>
        </w:tabs>
        <w:spacing w:after="0" w:line="240" w:lineRule="auto"/>
        <w:jc w:val="both"/>
        <w:rPr>
          <w:rFonts w:ascii="Arial" w:hAnsi="Arial" w:cs="Arial"/>
          <w:sz w:val="24"/>
          <w:szCs w:val="24"/>
        </w:rPr>
      </w:pPr>
      <w:r w:rsidRPr="00AF652D">
        <w:rPr>
          <w:rFonts w:ascii="Arial" w:hAnsi="Arial" w:cs="Arial"/>
          <w:sz w:val="24"/>
          <w:szCs w:val="24"/>
        </w:rPr>
        <w:t xml:space="preserve">A prominent </w:t>
      </w:r>
      <w:r w:rsidR="00A372E1" w:rsidRPr="00AF652D">
        <w:rPr>
          <w:rFonts w:ascii="Arial" w:hAnsi="Arial" w:cs="Arial"/>
          <w:sz w:val="24"/>
          <w:szCs w:val="24"/>
        </w:rPr>
        <w:t xml:space="preserve">Hungarian </w:t>
      </w:r>
      <w:r w:rsidRPr="00AF652D">
        <w:rPr>
          <w:rFonts w:ascii="Arial" w:hAnsi="Arial" w:cs="Arial"/>
          <w:sz w:val="24"/>
          <w:szCs w:val="24"/>
        </w:rPr>
        <w:t xml:space="preserve">NGO </w:t>
      </w:r>
      <w:r w:rsidR="00154206" w:rsidRPr="00AF652D">
        <w:rPr>
          <w:rFonts w:ascii="Arial" w:hAnsi="Arial" w:cs="Arial"/>
          <w:sz w:val="24"/>
          <w:szCs w:val="24"/>
        </w:rPr>
        <w:t>highlights</w:t>
      </w:r>
      <w:r w:rsidR="00A372E1" w:rsidRPr="00AF652D">
        <w:rPr>
          <w:rFonts w:ascii="Arial" w:hAnsi="Arial" w:cs="Arial"/>
          <w:sz w:val="24"/>
          <w:szCs w:val="24"/>
        </w:rPr>
        <w:t xml:space="preserve"> to the following problem. </w:t>
      </w:r>
      <w:r w:rsidRPr="00AF652D">
        <w:rPr>
          <w:rFonts w:ascii="Arial" w:hAnsi="Arial" w:cs="Arial"/>
          <w:sz w:val="24"/>
          <w:szCs w:val="24"/>
        </w:rPr>
        <w:t>“</w:t>
      </w:r>
      <w:r w:rsidR="00EF15F7" w:rsidRPr="00AF652D">
        <w:rPr>
          <w:rFonts w:ascii="Arial" w:hAnsi="Arial" w:cs="Arial"/>
          <w:sz w:val="24"/>
          <w:szCs w:val="24"/>
        </w:rPr>
        <w:t xml:space="preserve">In Hungary, especially in urban regions, a considerable proportion of the population lives in relatively cheap apartments in blocks of flats built in 20 to 40 years ago. The </w:t>
      </w:r>
      <w:r w:rsidR="00EF15F7" w:rsidRPr="00AF652D">
        <w:rPr>
          <w:rFonts w:ascii="Arial" w:hAnsi="Arial" w:cs="Arial"/>
          <w:sz w:val="24"/>
          <w:szCs w:val="24"/>
        </w:rPr>
        <w:lastRenderedPageBreak/>
        <w:t xml:space="preserve">apartments are predominantly exclusively owned by the residing persons or families, and the parts of the buildings besides the apartments are in the common property of these owners, or in the ownership of a housing cooperative with a separate legal personality consisting of these owners. These old buildings often fail to meet the requirements of accessibility, therefore many persons with disability have no chance to find an appropriate flat in these housing areas with much lower purchase prices than in more modern, accessible buildings. This results in a structural discrimination in the field of housing. However, with respect to the special structure of ownership in these blocks of flats, no one can be obliged to create the conditions of accessibility. In our opinion the state or the local communities should be more proactive </w:t>
      </w:r>
      <w:proofErr w:type="gramStart"/>
      <w:r w:rsidR="00EF15F7" w:rsidRPr="00AF652D">
        <w:rPr>
          <w:rFonts w:ascii="Arial" w:hAnsi="Arial" w:cs="Arial"/>
          <w:sz w:val="24"/>
          <w:szCs w:val="24"/>
        </w:rPr>
        <w:t>in order to</w:t>
      </w:r>
      <w:proofErr w:type="gramEnd"/>
      <w:r w:rsidR="00EF15F7" w:rsidRPr="00AF652D">
        <w:rPr>
          <w:rFonts w:ascii="Arial" w:hAnsi="Arial" w:cs="Arial"/>
          <w:sz w:val="24"/>
          <w:szCs w:val="24"/>
        </w:rPr>
        <w:t xml:space="preserve"> make these block</w:t>
      </w:r>
      <w:r w:rsidR="00AF652D">
        <w:rPr>
          <w:rFonts w:ascii="Arial" w:hAnsi="Arial" w:cs="Arial"/>
          <w:sz w:val="24"/>
          <w:szCs w:val="24"/>
        </w:rPr>
        <w:t>s</w:t>
      </w:r>
      <w:r w:rsidR="00EF15F7" w:rsidRPr="00AF652D">
        <w:rPr>
          <w:rFonts w:ascii="Arial" w:hAnsi="Arial" w:cs="Arial"/>
          <w:sz w:val="24"/>
          <w:szCs w:val="24"/>
        </w:rPr>
        <w:t xml:space="preserve"> of flats accessible. They should elaborate and implement publicly financed programmes for this purpose.</w:t>
      </w:r>
      <w:r w:rsidRPr="00AF652D">
        <w:rPr>
          <w:rFonts w:ascii="Arial" w:hAnsi="Arial" w:cs="Arial"/>
          <w:sz w:val="24"/>
          <w:szCs w:val="24"/>
        </w:rPr>
        <w:t>”</w:t>
      </w:r>
      <w:r w:rsidR="00EF15F7" w:rsidRPr="00AF652D">
        <w:rPr>
          <w:rStyle w:val="FootnoteReference"/>
          <w:rFonts w:ascii="Arial" w:hAnsi="Arial" w:cs="Arial"/>
          <w:sz w:val="24"/>
          <w:szCs w:val="24"/>
        </w:rPr>
        <w:footnoteReference w:id="106"/>
      </w:r>
      <w:r w:rsidR="002C2316" w:rsidRPr="00AF652D">
        <w:rPr>
          <w:rFonts w:ascii="Arial" w:hAnsi="Arial" w:cs="Arial"/>
          <w:sz w:val="24"/>
          <w:szCs w:val="24"/>
        </w:rPr>
        <w:t xml:space="preserve"> The government has not addressed this programme so far.</w:t>
      </w:r>
    </w:p>
    <w:p w:rsidR="00FE6789" w:rsidRPr="00AF652D" w:rsidRDefault="00FE6789" w:rsidP="00AB2326">
      <w:pPr>
        <w:tabs>
          <w:tab w:val="left" w:pos="2694"/>
        </w:tabs>
        <w:spacing w:after="0" w:line="240" w:lineRule="auto"/>
        <w:rPr>
          <w:rFonts w:ascii="Arial" w:hAnsi="Arial" w:cs="Arial"/>
          <w:sz w:val="24"/>
          <w:szCs w:val="24"/>
        </w:rPr>
      </w:pPr>
    </w:p>
    <w:p w:rsidR="00020C3C" w:rsidRPr="00AF652D" w:rsidRDefault="00020C3C" w:rsidP="00AB2326">
      <w:pPr>
        <w:pStyle w:val="Heading2"/>
        <w:tabs>
          <w:tab w:val="left" w:pos="2694"/>
        </w:tabs>
        <w:rPr>
          <w:rFonts w:cs="Arial"/>
          <w:szCs w:val="24"/>
        </w:rPr>
      </w:pPr>
      <w:r w:rsidRPr="00AF652D">
        <w:rPr>
          <w:rFonts w:cs="Arial"/>
          <w:szCs w:val="24"/>
        </w:rPr>
        <w:t>Example of promising practice in making accessible housing available</w:t>
      </w:r>
    </w:p>
    <w:p w:rsidR="00CE251C" w:rsidRPr="00AF652D" w:rsidRDefault="00CE251C" w:rsidP="00AB2326">
      <w:pPr>
        <w:tabs>
          <w:tab w:val="left" w:pos="2694"/>
        </w:tabs>
        <w:spacing w:after="0" w:line="240" w:lineRule="auto"/>
        <w:rPr>
          <w:rFonts w:ascii="Arial" w:hAnsi="Arial" w:cs="Arial"/>
          <w:sz w:val="24"/>
          <w:szCs w:val="24"/>
        </w:rPr>
      </w:pPr>
    </w:p>
    <w:p w:rsidR="002628F1" w:rsidRPr="00AF652D" w:rsidRDefault="00ED2950" w:rsidP="00AB2326">
      <w:pPr>
        <w:tabs>
          <w:tab w:val="left" w:pos="2694"/>
        </w:tabs>
        <w:spacing w:after="0" w:line="240" w:lineRule="auto"/>
        <w:rPr>
          <w:rFonts w:ascii="Arial" w:hAnsi="Arial" w:cs="Arial"/>
          <w:sz w:val="24"/>
          <w:szCs w:val="24"/>
        </w:rPr>
      </w:pPr>
      <w:r w:rsidRPr="00AF652D">
        <w:rPr>
          <w:rFonts w:ascii="Arial" w:hAnsi="Arial" w:cs="Arial"/>
          <w:sz w:val="24"/>
          <w:szCs w:val="24"/>
        </w:rPr>
        <w:t>Can you identify one or more examples of promising practice in your country that might help other countries to increase the accessibility of housing stock to persons with disabilities?</w:t>
      </w:r>
    </w:p>
    <w:p w:rsidR="007F561B" w:rsidRPr="00AF652D" w:rsidRDefault="007F561B" w:rsidP="00AB2326">
      <w:pPr>
        <w:tabs>
          <w:tab w:val="left" w:pos="2694"/>
        </w:tabs>
        <w:spacing w:after="0" w:line="240" w:lineRule="auto"/>
        <w:rPr>
          <w:rFonts w:ascii="Arial" w:hAnsi="Arial" w:cs="Arial"/>
          <w:sz w:val="24"/>
          <w:szCs w:val="24"/>
        </w:rPr>
      </w:pPr>
    </w:p>
    <w:p w:rsidR="00ED2950" w:rsidRPr="00AF652D" w:rsidRDefault="00CD527F" w:rsidP="00AB2326">
      <w:pPr>
        <w:spacing w:after="0" w:line="240" w:lineRule="auto"/>
        <w:rPr>
          <w:rFonts w:ascii="Arial" w:hAnsi="Arial" w:cs="Arial"/>
          <w:sz w:val="24"/>
          <w:szCs w:val="24"/>
        </w:rPr>
      </w:pPr>
      <w:r w:rsidRPr="00AF652D">
        <w:rPr>
          <w:rFonts w:ascii="Arial" w:hAnsi="Arial" w:cs="Arial"/>
          <w:sz w:val="24"/>
          <w:szCs w:val="24"/>
        </w:rPr>
        <w:t>No.</w:t>
      </w:r>
    </w:p>
    <w:sectPr w:rsidR="00ED2950" w:rsidRPr="00AF652D" w:rsidSect="005B7CE2">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E8" w:rsidRDefault="00476DE8" w:rsidP="00ED2950">
      <w:pPr>
        <w:spacing w:after="0" w:line="240" w:lineRule="auto"/>
      </w:pPr>
      <w:r>
        <w:separator/>
      </w:r>
    </w:p>
  </w:endnote>
  <w:endnote w:type="continuationSeparator" w:id="0">
    <w:p w:rsidR="00476DE8" w:rsidRDefault="00476DE8" w:rsidP="00ED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0566"/>
      <w:docPartObj>
        <w:docPartGallery w:val="Page Numbers (Bottom of Page)"/>
        <w:docPartUnique/>
      </w:docPartObj>
    </w:sdtPr>
    <w:sdtEndPr>
      <w:rPr>
        <w:noProof/>
      </w:rPr>
    </w:sdtEndPr>
    <w:sdtContent>
      <w:p w:rsidR="00476DE8" w:rsidRDefault="00476DE8">
        <w:pPr>
          <w:pStyle w:val="Footer"/>
          <w:jc w:val="center"/>
        </w:pPr>
        <w:r w:rsidRPr="00ED2950">
          <w:rPr>
            <w:rFonts w:ascii="Arial" w:hAnsi="Arial" w:cs="Arial"/>
            <w:sz w:val="24"/>
            <w:szCs w:val="24"/>
          </w:rPr>
          <w:fldChar w:fldCharType="begin"/>
        </w:r>
        <w:r w:rsidRPr="00ED2950">
          <w:rPr>
            <w:rFonts w:ascii="Arial" w:hAnsi="Arial" w:cs="Arial"/>
            <w:sz w:val="24"/>
            <w:szCs w:val="24"/>
          </w:rPr>
          <w:instrText xml:space="preserve"> PAGE   \* MERGEFORMAT </w:instrText>
        </w:r>
        <w:r w:rsidRPr="00ED2950">
          <w:rPr>
            <w:rFonts w:ascii="Arial" w:hAnsi="Arial" w:cs="Arial"/>
            <w:sz w:val="24"/>
            <w:szCs w:val="24"/>
          </w:rPr>
          <w:fldChar w:fldCharType="separate"/>
        </w:r>
        <w:r w:rsidR="00EF38D6">
          <w:rPr>
            <w:rFonts w:ascii="Arial" w:hAnsi="Arial" w:cs="Arial"/>
            <w:noProof/>
            <w:sz w:val="24"/>
            <w:szCs w:val="24"/>
          </w:rPr>
          <w:t>1</w:t>
        </w:r>
        <w:r w:rsidRPr="00ED2950">
          <w:rPr>
            <w:rFonts w:ascii="Arial" w:hAnsi="Arial" w:cs="Arial"/>
            <w:noProof/>
            <w:sz w:val="24"/>
            <w:szCs w:val="24"/>
          </w:rPr>
          <w:fldChar w:fldCharType="end"/>
        </w:r>
      </w:p>
    </w:sdtContent>
  </w:sdt>
  <w:p w:rsidR="00476DE8" w:rsidRDefault="0047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E8" w:rsidRDefault="00476DE8" w:rsidP="00ED2950">
      <w:pPr>
        <w:spacing w:after="0" w:line="240" w:lineRule="auto"/>
      </w:pPr>
      <w:r>
        <w:separator/>
      </w:r>
    </w:p>
  </w:footnote>
  <w:footnote w:type="continuationSeparator" w:id="0">
    <w:p w:rsidR="00476DE8" w:rsidRDefault="00476DE8" w:rsidP="00ED2950">
      <w:pPr>
        <w:spacing w:after="0" w:line="240" w:lineRule="auto"/>
      </w:pPr>
      <w:r>
        <w:continuationSeparator/>
      </w:r>
    </w:p>
  </w:footnote>
  <w:footnote w:id="1">
    <w:p w:rsidR="00476DE8" w:rsidRPr="009E2077" w:rsidRDefault="00476DE8" w:rsidP="008755BA">
      <w:pPr>
        <w:pStyle w:val="RM"/>
      </w:pPr>
      <w:r w:rsidRPr="009E2077">
        <w:rPr>
          <w:rStyle w:val="FootnoteReference"/>
        </w:rPr>
        <w:footnoteRef/>
      </w:r>
      <w:r w:rsidR="008E666D">
        <w:t xml:space="preserve"> </w:t>
      </w:r>
      <w:r w:rsidR="008E666D">
        <w:tab/>
      </w:r>
      <w:r w:rsidRPr="008755BA">
        <w:rPr>
          <w:rStyle w:val="RMChar"/>
        </w:rPr>
        <w:t xml:space="preserve">Act CXC of 2011 on national public education (hereinafter: NPE Act); see: </w:t>
      </w:r>
      <w:hyperlink r:id="rId1" w:history="1">
        <w:r w:rsidRPr="008755BA">
          <w:rPr>
            <w:rStyle w:val="Hyperlink"/>
          </w:rPr>
          <w:t>http://njt.hu/cgi_bin/njt_doc.cgi?docid=139880.293985</w:t>
        </w:r>
      </w:hyperlink>
      <w:r w:rsidRPr="008755BA">
        <w:rPr>
          <w:rStyle w:val="RMChar"/>
        </w:rPr>
        <w:t xml:space="preserve"> (in Hungarian)</w:t>
      </w:r>
      <w:r w:rsidR="008E666D" w:rsidRPr="008755BA">
        <w:rPr>
          <w:rStyle w:val="RMChar"/>
        </w:rPr>
        <w:t>.</w:t>
      </w:r>
    </w:p>
  </w:footnote>
  <w:footnote w:id="2">
    <w:p w:rsidR="00476DE8" w:rsidRPr="009E2077" w:rsidRDefault="00476DE8" w:rsidP="008755BA">
      <w:pPr>
        <w:pStyle w:val="RM"/>
      </w:pPr>
      <w:r w:rsidRPr="009E2077">
        <w:rPr>
          <w:rStyle w:val="FootnoteReference"/>
        </w:rPr>
        <w:footnoteRef/>
      </w:r>
      <w:r w:rsidRPr="009E2077">
        <w:t xml:space="preserve"> </w:t>
      </w:r>
      <w:r w:rsidR="008755BA">
        <w:tab/>
      </w:r>
      <w:r w:rsidRPr="009E2077">
        <w:t xml:space="preserve">Act CLXXXVII of 2011 on vocational training (hereinafter: VT Act), see: </w:t>
      </w:r>
      <w:hyperlink r:id="rId2" w:history="1">
        <w:r w:rsidRPr="009E2077">
          <w:rPr>
            <w:rStyle w:val="Hyperlink"/>
          </w:rPr>
          <w:t>http://njt.hu/cgi_bin/njt_doc.cgi?docid=139866.323411</w:t>
        </w:r>
      </w:hyperlink>
      <w:r w:rsidRPr="009E2077">
        <w:t xml:space="preserve"> (in Hungarian)</w:t>
      </w:r>
      <w:r w:rsidR="008755BA">
        <w:t>.</w:t>
      </w:r>
    </w:p>
  </w:footnote>
  <w:footnote w:id="3">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Source: Central Statistical Office (Hungary; hereinafter: CSO), </w:t>
      </w:r>
      <w:r w:rsidRPr="009E2077">
        <w:rPr>
          <w:i/>
        </w:rPr>
        <w:t>Statistical Yearbook of Public Education 2014/2015</w:t>
      </w:r>
      <w:r w:rsidRPr="009E2077">
        <w:t xml:space="preserve">, CSO, Budapest 2016, 8, 149-150 (available partly in English: </w:t>
      </w:r>
      <w:hyperlink r:id="rId3" w:history="1">
        <w:r w:rsidRPr="009E2077">
          <w:rPr>
            <w:rStyle w:val="Hyperlink"/>
          </w:rPr>
          <w:t>www.kormany.hu/download/3/28/a0000/Kozneveles_statisztikai_evkonyv_2014.pdf</w:t>
        </w:r>
      </w:hyperlink>
      <w:r w:rsidRPr="009E2077">
        <w:t>)</w:t>
      </w:r>
      <w:r w:rsidR="008755BA">
        <w:t>.</w:t>
      </w:r>
    </w:p>
  </w:footnote>
  <w:footnote w:id="4">
    <w:p w:rsidR="00476DE8" w:rsidRPr="008755BA" w:rsidRDefault="00476DE8" w:rsidP="008755BA">
      <w:pPr>
        <w:pStyle w:val="RM"/>
      </w:pPr>
      <w:r w:rsidRPr="009E2077">
        <w:rPr>
          <w:rStyle w:val="FootnoteReference"/>
        </w:rPr>
        <w:footnoteRef/>
      </w:r>
      <w:r w:rsidRPr="009E2077">
        <w:t xml:space="preserve"> </w:t>
      </w:r>
      <w:r w:rsidR="008755BA">
        <w:tab/>
      </w:r>
      <w:r w:rsidRPr="009E2077">
        <w:t xml:space="preserve">International Standard Classification of Education, see: </w:t>
      </w:r>
      <w:hyperlink r:id="rId4" w:anchor="ISCED_1997_levels_of_education" w:history="1">
        <w:r w:rsidRPr="009E2077">
          <w:rPr>
            <w:rStyle w:val="Hyperlink"/>
          </w:rPr>
          <w:t>https://en.wikipedia.org/wiki/International_Standard_Classification_of_Education#ISCED_1997_levels_of_education</w:t>
        </w:r>
      </w:hyperlink>
      <w:r w:rsidR="008755BA">
        <w:rPr>
          <w:rStyle w:val="Hyperlink"/>
          <w:u w:val="none"/>
        </w:rPr>
        <w:t>.</w:t>
      </w:r>
    </w:p>
  </w:footnote>
  <w:footnote w:id="5">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See: </w:t>
      </w:r>
      <w:hyperlink r:id="rId5" w:history="1">
        <w:r w:rsidRPr="009E2077">
          <w:rPr>
            <w:rStyle w:val="Hyperlink"/>
          </w:rPr>
          <w:t>http://njt.hu/cgi_bin/njt_doc.cgi?docid=142941.329859</w:t>
        </w:r>
      </w:hyperlink>
      <w:r w:rsidRPr="009E2077">
        <w:t xml:space="preserve"> (in Hungarian).</w:t>
      </w:r>
    </w:p>
  </w:footnote>
  <w:footnote w:id="6">
    <w:p w:rsidR="00476DE8" w:rsidRPr="009E2077" w:rsidRDefault="00476DE8" w:rsidP="008755BA">
      <w:pPr>
        <w:pStyle w:val="RM"/>
      </w:pPr>
      <w:r w:rsidRPr="009E2077">
        <w:rPr>
          <w:rStyle w:val="FootnoteReference"/>
        </w:rPr>
        <w:footnoteRef/>
      </w:r>
      <w:r w:rsidR="008755BA">
        <w:t xml:space="preserve"> </w:t>
      </w:r>
      <w:r w:rsidR="008755BA">
        <w:tab/>
      </w:r>
      <w:r w:rsidRPr="009E2077">
        <w:t>CSO 2016 op. cit., 11</w:t>
      </w:r>
      <w:r w:rsidR="008755BA">
        <w:t>.</w:t>
      </w:r>
    </w:p>
  </w:footnote>
  <w:footnote w:id="7">
    <w:p w:rsidR="00476DE8" w:rsidRPr="009E2077" w:rsidRDefault="00476DE8" w:rsidP="008755BA">
      <w:pPr>
        <w:pStyle w:val="RM"/>
      </w:pPr>
      <w:r w:rsidRPr="009E2077">
        <w:rPr>
          <w:rStyle w:val="FootnoteReference"/>
        </w:rPr>
        <w:footnoteRef/>
      </w:r>
      <w:r w:rsidR="008755BA">
        <w:t xml:space="preserve"> </w:t>
      </w:r>
      <w:r w:rsidR="008755BA">
        <w:tab/>
      </w:r>
      <w:r w:rsidRPr="009E2077">
        <w:t>NPE Act, sec. 47(1)(6)</w:t>
      </w:r>
      <w:r w:rsidR="008755BA">
        <w:t>.</w:t>
      </w:r>
    </w:p>
  </w:footnote>
  <w:footnote w:id="8">
    <w:p w:rsidR="00476DE8" w:rsidRPr="009E2077" w:rsidRDefault="00476DE8" w:rsidP="008755BA">
      <w:pPr>
        <w:pStyle w:val="RM"/>
      </w:pPr>
      <w:r w:rsidRPr="009E2077">
        <w:rPr>
          <w:rStyle w:val="FootnoteReference"/>
        </w:rPr>
        <w:footnoteRef/>
      </w:r>
      <w:r w:rsidR="008755BA">
        <w:t xml:space="preserve"> </w:t>
      </w:r>
      <w:r w:rsidR="008755BA">
        <w:tab/>
      </w:r>
      <w:r w:rsidRPr="009E2077">
        <w:t>CSO 2016 op. cit., 150</w:t>
      </w:r>
      <w:r w:rsidR="008755BA">
        <w:t>.</w:t>
      </w:r>
    </w:p>
  </w:footnote>
  <w:footnote w:id="9">
    <w:p w:rsidR="00476DE8" w:rsidRPr="009E2077" w:rsidRDefault="00476DE8" w:rsidP="008755BA">
      <w:pPr>
        <w:pStyle w:val="RM"/>
      </w:pPr>
      <w:r w:rsidRPr="009E2077">
        <w:rPr>
          <w:rStyle w:val="FootnoteReference"/>
        </w:rPr>
        <w:footnoteRef/>
      </w:r>
      <w:r w:rsidR="008755BA">
        <w:t xml:space="preserve"> </w:t>
      </w:r>
      <w:r w:rsidR="008755BA">
        <w:tab/>
      </w:r>
      <w:r w:rsidRPr="009E2077">
        <w:t>Source: CSO 2016 op. cit., 37</w:t>
      </w:r>
      <w:r w:rsidR="008755BA">
        <w:t>.</w:t>
      </w:r>
    </w:p>
  </w:footnote>
  <w:footnote w:id="10">
    <w:p w:rsidR="00476DE8" w:rsidRPr="009E2077" w:rsidRDefault="00476DE8" w:rsidP="008755BA">
      <w:pPr>
        <w:pStyle w:val="RM"/>
      </w:pPr>
      <w:r w:rsidRPr="009E2077">
        <w:rPr>
          <w:rStyle w:val="FootnoteReference"/>
        </w:rPr>
        <w:footnoteRef/>
      </w:r>
      <w:r w:rsidR="008755BA">
        <w:t xml:space="preserve"> </w:t>
      </w:r>
      <w:r w:rsidR="008755BA">
        <w:tab/>
      </w:r>
      <w:r w:rsidRPr="009E2077">
        <w:t>CSO 2016 op. cit., 14</w:t>
      </w:r>
      <w:r w:rsidR="008755BA">
        <w:t>.</w:t>
      </w:r>
    </w:p>
  </w:footnote>
  <w:footnote w:id="11">
    <w:p w:rsidR="00476DE8" w:rsidRPr="009E2077" w:rsidRDefault="00476DE8" w:rsidP="008755BA">
      <w:pPr>
        <w:pStyle w:val="RM"/>
      </w:pPr>
      <w:r w:rsidRPr="009E2077">
        <w:rPr>
          <w:rStyle w:val="FootnoteReference"/>
        </w:rPr>
        <w:footnoteRef/>
      </w:r>
      <w:r w:rsidR="008755BA">
        <w:t xml:space="preserve"> </w:t>
      </w:r>
      <w:r w:rsidR="008755BA">
        <w:tab/>
      </w:r>
      <w:r w:rsidRPr="009E2077">
        <w:t>Ibid. (with reference to accurate figures)</w:t>
      </w:r>
      <w:r w:rsidR="008755BA">
        <w:t>.</w:t>
      </w:r>
    </w:p>
  </w:footnote>
  <w:footnote w:id="12">
    <w:p w:rsidR="00476DE8" w:rsidRPr="009E2077" w:rsidRDefault="00476DE8" w:rsidP="008755BA">
      <w:pPr>
        <w:pStyle w:val="RM"/>
      </w:pPr>
      <w:r w:rsidRPr="009E2077">
        <w:rPr>
          <w:rStyle w:val="FootnoteReference"/>
        </w:rPr>
        <w:footnoteRef/>
      </w:r>
      <w:r w:rsidRPr="009E2077">
        <w:t xml:space="preserve"> </w:t>
      </w:r>
      <w:r w:rsidR="008755BA">
        <w:tab/>
      </w:r>
      <w:r w:rsidRPr="009E2077">
        <w:t xml:space="preserve">Government Decision No. 1040/2015 (II.10.) on the conception “Vocational training in service of economy”, see: </w:t>
      </w:r>
      <w:hyperlink r:id="rId6" w:history="1">
        <w:r w:rsidRPr="009E2077">
          <w:rPr>
            <w:rStyle w:val="Hyperlink"/>
          </w:rPr>
          <w:t>http://njt.hu/cgi_bin/njt_doc.cgi?docid=174102.289078</w:t>
        </w:r>
      </w:hyperlink>
      <w:r w:rsidRPr="009E2077">
        <w:t xml:space="preserve"> (in Hungarian) (The government decision does not include </w:t>
      </w:r>
      <w:r w:rsidR="008755BA">
        <w:t>the full text of the conception</w:t>
      </w:r>
      <w:r w:rsidRPr="009E2077">
        <w:t>)</w:t>
      </w:r>
      <w:r w:rsidR="008755BA">
        <w:t>.</w:t>
      </w:r>
    </w:p>
  </w:footnote>
  <w:footnote w:id="13">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About the reform in detail: </w:t>
      </w:r>
      <w:hyperlink r:id="rId7" w:history="1">
        <w:r w:rsidRPr="009E2077">
          <w:rPr>
            <w:rStyle w:val="Hyperlink"/>
          </w:rPr>
          <w:t>http://observatory.org.hu/igy-valtozott-a-szakkepzes-a-2015-majusi-torvenymodositasok-nyoman/</w:t>
        </w:r>
      </w:hyperlink>
      <w:r w:rsidRPr="009E2077">
        <w:t xml:space="preserve">; </w:t>
      </w:r>
      <w:hyperlink r:id="rId8" w:history="1">
        <w:r w:rsidRPr="009E2077">
          <w:rPr>
            <w:rStyle w:val="Hyperlink"/>
          </w:rPr>
          <w:t>http://csmkik.hu/hu/szakkepzes/cikkek/megjelentek-a-szakkepzes-egeszet-erinto-jogszabalymodositasok-83581</w:t>
        </w:r>
      </w:hyperlink>
      <w:r w:rsidRPr="009E2077">
        <w:t xml:space="preserve"> (in Hungarian); VT Act, sec. 29; NPE Act, sec. 12-14.</w:t>
      </w:r>
    </w:p>
  </w:footnote>
  <w:footnote w:id="14">
    <w:p w:rsidR="00476DE8" w:rsidRPr="009E2077" w:rsidRDefault="00476DE8" w:rsidP="008755BA">
      <w:pPr>
        <w:pStyle w:val="RM"/>
      </w:pPr>
      <w:r w:rsidRPr="009E2077">
        <w:rPr>
          <w:rStyle w:val="FootnoteReference"/>
        </w:rPr>
        <w:footnoteRef/>
      </w:r>
      <w:r w:rsidR="008755BA">
        <w:t xml:space="preserve"> </w:t>
      </w:r>
      <w:r w:rsidR="008755BA">
        <w:tab/>
      </w:r>
      <w:r w:rsidRPr="009E2077">
        <w:t>VT Act, sec. 11</w:t>
      </w:r>
      <w:r w:rsidR="008755BA">
        <w:t>.</w:t>
      </w:r>
    </w:p>
  </w:footnote>
  <w:footnote w:id="15">
    <w:p w:rsidR="00476DE8" w:rsidRPr="009E2077" w:rsidRDefault="00476DE8" w:rsidP="008755BA">
      <w:pPr>
        <w:pStyle w:val="RM"/>
      </w:pPr>
      <w:r w:rsidRPr="009E2077">
        <w:rPr>
          <w:rStyle w:val="FootnoteReference"/>
        </w:rPr>
        <w:footnoteRef/>
      </w:r>
      <w:r w:rsidR="008755BA">
        <w:t xml:space="preserve"> </w:t>
      </w:r>
      <w:r w:rsidR="008755BA">
        <w:tab/>
      </w:r>
      <w:r w:rsidRPr="009E2077">
        <w:t>About the accommodation duties of the educational institutions in more detail see section 1.3.</w:t>
      </w:r>
    </w:p>
  </w:footnote>
  <w:footnote w:id="16">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Employment, Social Affairs &amp; Inclusion, </w:t>
      </w:r>
      <w:r w:rsidRPr="009E2077">
        <w:rPr>
          <w:i/>
        </w:rPr>
        <w:t>The Youth Guarantee country by country - Hungary</w:t>
      </w:r>
      <w:r w:rsidRPr="009E2077">
        <w:t>, European Commission, 2016, 3</w:t>
      </w:r>
      <w:r w:rsidR="008755BA">
        <w:t>.</w:t>
      </w:r>
    </w:p>
  </w:footnote>
  <w:footnote w:id="17">
    <w:p w:rsidR="00476DE8" w:rsidRPr="008755BA" w:rsidRDefault="00476DE8" w:rsidP="008755BA">
      <w:pPr>
        <w:pStyle w:val="RM"/>
      </w:pPr>
      <w:r w:rsidRPr="009E2077">
        <w:rPr>
          <w:rStyle w:val="FootnoteReference"/>
        </w:rPr>
        <w:footnoteRef/>
      </w:r>
      <w:r w:rsidR="008755BA">
        <w:t xml:space="preserve"> </w:t>
      </w:r>
      <w:r w:rsidR="008755BA">
        <w:tab/>
      </w:r>
      <w:r w:rsidRPr="009E2077">
        <w:t xml:space="preserve">Magyarország Ifjúsági Garancia Akcióterve (2013; hereinafter: YG Action Plan), available: </w:t>
      </w:r>
      <w:hyperlink r:id="rId9" w:anchor="%21DocumentBrowse" w:history="1">
        <w:r w:rsidRPr="009E2077">
          <w:rPr>
            <w:rStyle w:val="Hyperlink"/>
          </w:rPr>
          <w:t>http://www.kormany.hu/download/f/10/10000/Ifj%C3%BAs%C3%A1gi%20Garancia%20Akci%C3%B3terv_HU_20140411.pdf#%21DocumentBrowse</w:t>
        </w:r>
      </w:hyperlink>
      <w:r w:rsidR="008755BA">
        <w:rPr>
          <w:rStyle w:val="Hyperlink"/>
          <w:u w:val="none"/>
        </w:rPr>
        <w:t>.</w:t>
      </w:r>
    </w:p>
  </w:footnote>
  <w:footnote w:id="18">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YG Action Plan 2013 op. cit., 27 (The strategy is available in Hungarian: </w:t>
      </w:r>
      <w:hyperlink r:id="rId10" w:history="1">
        <w:r w:rsidRPr="009E2077">
          <w:rPr>
            <w:rStyle w:val="Hyperlink"/>
          </w:rPr>
          <w:t>http://www.kormany.hu/download/7/6a/e0000/ESL-Cselekv%C3%A9si-terv_20161109.pdf</w:t>
        </w:r>
      </w:hyperlink>
      <w:r w:rsidRPr="009E2077">
        <w:t>)</w:t>
      </w:r>
      <w:r w:rsidR="008755BA">
        <w:t>.</w:t>
      </w:r>
    </w:p>
  </w:footnote>
  <w:footnote w:id="19">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YG Action Plan 2013 op. cit., 16, 17, 27, 29, </w:t>
      </w:r>
    </w:p>
  </w:footnote>
  <w:footnote w:id="20">
    <w:p w:rsidR="00476DE8" w:rsidRPr="008755BA" w:rsidRDefault="00476DE8" w:rsidP="008755BA">
      <w:pPr>
        <w:pStyle w:val="RM"/>
      </w:pPr>
      <w:r w:rsidRPr="009E2077">
        <w:rPr>
          <w:rStyle w:val="FootnoteReference"/>
        </w:rPr>
        <w:footnoteRef/>
      </w:r>
      <w:r w:rsidR="008755BA">
        <w:t xml:space="preserve"> </w:t>
      </w:r>
      <w:r w:rsidR="008755BA">
        <w:tab/>
      </w:r>
      <w:r w:rsidRPr="009E2077">
        <w:t xml:space="preserve">Details: </w:t>
      </w:r>
      <w:hyperlink r:id="rId11" w:history="1">
        <w:r w:rsidRPr="009E2077">
          <w:rPr>
            <w:rStyle w:val="Hyperlink"/>
          </w:rPr>
          <w:t>http://nfsz.munka.hu/engine.aspx?page=VEKOP_V821</w:t>
        </w:r>
      </w:hyperlink>
      <w:r w:rsidRPr="009E2077">
        <w:t xml:space="preserve"> and </w:t>
      </w:r>
      <w:hyperlink r:id="rId12" w:history="1">
        <w:r w:rsidRPr="009E2077">
          <w:rPr>
            <w:rStyle w:val="Hyperlink"/>
          </w:rPr>
          <w:t>http://nfsz.munka.hu/engine.aspx?page=GINOP_G521</w:t>
        </w:r>
      </w:hyperlink>
      <w:r w:rsidR="008755BA">
        <w:rPr>
          <w:rStyle w:val="Hyperlink"/>
          <w:u w:val="none"/>
        </w:rPr>
        <w:t>.</w:t>
      </w:r>
    </w:p>
  </w:footnote>
  <w:footnote w:id="21">
    <w:p w:rsidR="00476DE8" w:rsidRPr="008755BA" w:rsidRDefault="00476DE8" w:rsidP="008755BA">
      <w:pPr>
        <w:pStyle w:val="RM"/>
      </w:pPr>
      <w:r w:rsidRPr="009E2077">
        <w:rPr>
          <w:rStyle w:val="FootnoteReference"/>
        </w:rPr>
        <w:footnoteRef/>
      </w:r>
      <w:r w:rsidR="008755BA">
        <w:t xml:space="preserve"> </w:t>
      </w:r>
      <w:r w:rsidR="008755BA">
        <w:tab/>
      </w:r>
      <w:hyperlink r:id="rId13" w:history="1">
        <w:r w:rsidRPr="009E2077">
          <w:rPr>
            <w:rStyle w:val="Hyperlink"/>
          </w:rPr>
          <w:t>www.ifjusagigarancia.hu</w:t>
        </w:r>
      </w:hyperlink>
      <w:r w:rsidR="008755BA">
        <w:rPr>
          <w:rStyle w:val="Hyperlink"/>
          <w:u w:val="none"/>
        </w:rPr>
        <w:t>.</w:t>
      </w:r>
    </w:p>
  </w:footnote>
  <w:footnote w:id="22">
    <w:p w:rsidR="00476DE8" w:rsidRPr="009E2077" w:rsidRDefault="00476DE8" w:rsidP="008755BA">
      <w:pPr>
        <w:pStyle w:val="RM"/>
      </w:pPr>
      <w:r w:rsidRPr="009E2077">
        <w:rPr>
          <w:rStyle w:val="FootnoteReference"/>
        </w:rPr>
        <w:footnoteRef/>
      </w:r>
      <w:r w:rsidRPr="009E2077">
        <w:t xml:space="preserve"> </w:t>
      </w:r>
      <w:r w:rsidR="008755BA">
        <w:tab/>
      </w:r>
      <w:r w:rsidRPr="009E2077">
        <w:t xml:space="preserve">European Commission, </w:t>
      </w:r>
      <w:r w:rsidRPr="009E2077">
        <w:rPr>
          <w:i/>
        </w:rPr>
        <w:t>Country Report Hungary 2016 – Including an In-Depth Review on the prevention and correction of macroeconomic imbalances</w:t>
      </w:r>
      <w:r w:rsidRPr="009E2077">
        <w:t>, Commission Staff Working Document, SWD(2016) 85 final, Brussels, 26.2.2016 [hereinafter: Country Report 2016], 45</w:t>
      </w:r>
      <w:r w:rsidR="008755BA">
        <w:t>.</w:t>
      </w:r>
    </w:p>
  </w:footnote>
  <w:footnote w:id="23">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European Commission, </w:t>
      </w:r>
      <w:r w:rsidRPr="009E2077">
        <w:rPr>
          <w:i/>
        </w:rPr>
        <w:t>Recommendation for a Council Recommendation on the 2016 national reform programme of Hungary and delivering a Council opinion on the 2016 convergence programme of Hungary</w:t>
      </w:r>
      <w:r w:rsidRPr="009E2077">
        <w:t>, COM(2016) 337 final, Brussels, 18.5.2016</w:t>
      </w:r>
      <w:r w:rsidR="008755BA">
        <w:t>.</w:t>
      </w:r>
    </w:p>
  </w:footnote>
  <w:footnote w:id="24">
    <w:p w:rsidR="00476DE8" w:rsidRPr="009E2077" w:rsidRDefault="00476DE8" w:rsidP="008755BA">
      <w:pPr>
        <w:pStyle w:val="RM"/>
      </w:pPr>
      <w:r w:rsidRPr="009E2077">
        <w:rPr>
          <w:rStyle w:val="FootnoteReference"/>
        </w:rPr>
        <w:footnoteRef/>
      </w:r>
      <w:r w:rsidR="008755BA">
        <w:t xml:space="preserve"> </w:t>
      </w:r>
      <w:r w:rsidR="008755BA">
        <w:tab/>
      </w:r>
      <w:r w:rsidRPr="009E2077">
        <w:t>NPE Act, sec. 2(3); CSO 2016 op. cit., 43</w:t>
      </w:r>
      <w:r w:rsidR="008755BA">
        <w:t>.</w:t>
      </w:r>
    </w:p>
  </w:footnote>
  <w:footnote w:id="25">
    <w:p w:rsidR="00476DE8" w:rsidRPr="009E2077" w:rsidRDefault="00476DE8" w:rsidP="008755BA">
      <w:pPr>
        <w:pStyle w:val="RM"/>
      </w:pPr>
      <w:r w:rsidRPr="009E2077">
        <w:rPr>
          <w:rStyle w:val="FootnoteReference"/>
        </w:rPr>
        <w:footnoteRef/>
      </w:r>
      <w:r w:rsidR="008755BA">
        <w:t xml:space="preserve"> </w:t>
      </w:r>
      <w:r w:rsidR="008755BA">
        <w:tab/>
      </w:r>
      <w:r w:rsidRPr="009E2077">
        <w:t>CSO 2016 op. cit., 44</w:t>
      </w:r>
      <w:r w:rsidR="008755BA">
        <w:t>.</w:t>
      </w:r>
    </w:p>
  </w:footnote>
  <w:footnote w:id="26">
    <w:p w:rsidR="00476DE8" w:rsidRPr="009E2077" w:rsidRDefault="00476DE8" w:rsidP="008755BA">
      <w:pPr>
        <w:pStyle w:val="RM"/>
      </w:pPr>
      <w:r w:rsidRPr="009E2077">
        <w:rPr>
          <w:rStyle w:val="FootnoteReference"/>
        </w:rPr>
        <w:footnoteRef/>
      </w:r>
      <w:r w:rsidR="008755BA">
        <w:t xml:space="preserve"> </w:t>
      </w:r>
      <w:r w:rsidR="008755BA">
        <w:tab/>
      </w:r>
      <w:r w:rsidRPr="009E2077">
        <w:t>VT Act, sec. 84(8); NPE Act, sec. 74</w:t>
      </w:r>
      <w:r w:rsidR="008755BA">
        <w:t>.</w:t>
      </w:r>
    </w:p>
  </w:footnote>
  <w:footnote w:id="27">
    <w:p w:rsidR="00476DE8" w:rsidRPr="009E2077" w:rsidRDefault="00476DE8" w:rsidP="008755BA">
      <w:pPr>
        <w:pStyle w:val="RM"/>
      </w:pPr>
      <w:r w:rsidRPr="009E2077">
        <w:rPr>
          <w:rStyle w:val="FootnoteReference"/>
        </w:rPr>
        <w:footnoteRef/>
      </w:r>
      <w:r w:rsidR="008755BA">
        <w:t xml:space="preserve"> </w:t>
      </w:r>
      <w:r w:rsidR="008755BA">
        <w:tab/>
      </w:r>
      <w:r w:rsidRPr="009E2077">
        <w:t xml:space="preserve">Act CLV of 2011 on the vocational training contribution and the supporting of the development of training; see: </w:t>
      </w:r>
      <w:hyperlink r:id="rId14" w:history="1">
        <w:r w:rsidRPr="009E2077">
          <w:rPr>
            <w:rStyle w:val="Hyperlink"/>
          </w:rPr>
          <w:t>http://njt.hu/cgi_bin/njt_doc.cgi?docid=139651.323135</w:t>
        </w:r>
      </w:hyperlink>
      <w:r w:rsidR="008755BA">
        <w:t xml:space="preserve"> (in Hungarian).</w:t>
      </w:r>
    </w:p>
  </w:footnote>
  <w:footnote w:id="28">
    <w:p w:rsidR="00476DE8" w:rsidRPr="009E2077" w:rsidRDefault="00476DE8" w:rsidP="008755BA">
      <w:pPr>
        <w:pStyle w:val="RM"/>
        <w:rPr>
          <w:i/>
        </w:rPr>
      </w:pPr>
      <w:r w:rsidRPr="009E2077">
        <w:rPr>
          <w:rStyle w:val="FootnoteReference"/>
        </w:rPr>
        <w:footnoteRef/>
      </w:r>
      <w:r w:rsidR="008755BA">
        <w:t xml:space="preserve"> </w:t>
      </w:r>
      <w:r w:rsidR="008755BA">
        <w:tab/>
      </w:r>
      <w:r w:rsidRPr="009E2077">
        <w:t xml:space="preserve">In detail: Nemzeti Munkaügyi Hivatal, </w:t>
      </w:r>
      <w:r w:rsidRPr="009E2077">
        <w:rPr>
          <w:i/>
        </w:rPr>
        <w:t>A szakképzés szabályozása – Tájékoztató a szakképzési szakértők szakképzési változásokra való felkészítéséhez</w:t>
      </w:r>
      <w:r w:rsidRPr="009E2077">
        <w:t xml:space="preserve">, Budapest, 2014, 12 (available in Hungarian: </w:t>
      </w:r>
      <w:hyperlink r:id="rId15" w:history="1">
        <w:r w:rsidRPr="009E2077">
          <w:rPr>
            <w:rStyle w:val="Hyperlink"/>
          </w:rPr>
          <w:t>http://www.nive.hu/Downloads/Szakkepzesi_dokumentumok/NFA_KA_fejlesztesi_projektek/A_szakkepzes_szabalyozasa_tajekoztato_fuzet.pdf</w:t>
        </w:r>
      </w:hyperlink>
      <w:r w:rsidR="008755BA">
        <w:t>).</w:t>
      </w:r>
    </w:p>
  </w:footnote>
  <w:footnote w:id="29">
    <w:p w:rsidR="00476DE8" w:rsidRPr="009E2077" w:rsidRDefault="00476DE8" w:rsidP="008755BA">
      <w:pPr>
        <w:pStyle w:val="RM"/>
      </w:pPr>
      <w:r w:rsidRPr="009E2077">
        <w:rPr>
          <w:rStyle w:val="FootnoteReference"/>
        </w:rPr>
        <w:footnoteRef/>
      </w:r>
      <w:r w:rsidR="008755BA">
        <w:t xml:space="preserve"> </w:t>
      </w:r>
      <w:r w:rsidR="008755BA">
        <w:tab/>
      </w:r>
      <w:r w:rsidRPr="009E2077">
        <w:t>VT Act, sec. 29</w:t>
      </w:r>
      <w:r w:rsidR="008755BA">
        <w:t>.</w:t>
      </w:r>
    </w:p>
  </w:footnote>
  <w:footnote w:id="30">
    <w:p w:rsidR="00476DE8" w:rsidRPr="009E2077" w:rsidRDefault="00476DE8" w:rsidP="008755BA">
      <w:pPr>
        <w:pStyle w:val="RM"/>
      </w:pPr>
      <w:r w:rsidRPr="009E2077">
        <w:rPr>
          <w:rStyle w:val="FootnoteReference"/>
        </w:rPr>
        <w:footnoteRef/>
      </w:r>
      <w:r w:rsidR="008755BA">
        <w:t xml:space="preserve"> </w:t>
      </w:r>
      <w:r w:rsidR="008755BA">
        <w:tab/>
      </w:r>
      <w:r w:rsidRPr="009E2077">
        <w:t>VT Act, sec. 11</w:t>
      </w:r>
      <w:r w:rsidR="008755BA">
        <w:t>.</w:t>
      </w:r>
    </w:p>
  </w:footnote>
  <w:footnote w:id="31">
    <w:p w:rsidR="00476DE8" w:rsidRPr="009E2077" w:rsidRDefault="00476DE8" w:rsidP="008755BA">
      <w:pPr>
        <w:pStyle w:val="RM"/>
      </w:pPr>
      <w:r w:rsidRPr="009E2077">
        <w:rPr>
          <w:rStyle w:val="FootnoteReference"/>
        </w:rPr>
        <w:footnoteRef/>
      </w:r>
      <w:r w:rsidRPr="009E2077">
        <w:t xml:space="preserve"> </w:t>
      </w:r>
      <w:r w:rsidR="008755BA">
        <w:tab/>
      </w:r>
      <w:r w:rsidRPr="009E2077">
        <w:t xml:space="preserve">EMMI Decree No. 20/2012,sec. 138 (see: </w:t>
      </w:r>
      <w:hyperlink r:id="rId16" w:history="1">
        <w:r w:rsidRPr="009E2077">
          <w:rPr>
            <w:rStyle w:val="Hyperlink"/>
          </w:rPr>
          <w:t>http://njt.hu/cgi_bin/njt_doc.cgi?docid=154155.333318</w:t>
        </w:r>
      </w:hyperlink>
      <w:r w:rsidRPr="009E2077">
        <w:t xml:space="preserve">; in Hungarian); </w:t>
      </w:r>
    </w:p>
    <w:p w:rsidR="00476DE8" w:rsidRPr="009E2077" w:rsidRDefault="00476DE8" w:rsidP="008755BA">
      <w:pPr>
        <w:pStyle w:val="RM"/>
        <w:ind w:firstLine="0"/>
      </w:pPr>
      <w:r w:rsidRPr="009E2077">
        <w:t xml:space="preserve">EMMI Decree No. 32/2012. Appendix 2 (see: </w:t>
      </w:r>
      <w:hyperlink r:id="rId17" w:history="1">
        <w:r w:rsidRPr="009E2077">
          <w:rPr>
            <w:rStyle w:val="Hyperlink"/>
          </w:rPr>
          <w:t>http://njt.hu/cgi_bin/njt_doc.cgi?docid=154929.229239</w:t>
        </w:r>
      </w:hyperlink>
      <w:r w:rsidRPr="009E2077">
        <w:t>; in Hungarian)</w:t>
      </w:r>
      <w:r w:rsidR="00FC7140">
        <w:t>.</w:t>
      </w:r>
    </w:p>
  </w:footnote>
  <w:footnote w:id="32">
    <w:p w:rsidR="00476DE8" w:rsidRPr="009E2077" w:rsidRDefault="00476DE8" w:rsidP="008755BA">
      <w:pPr>
        <w:pStyle w:val="RM"/>
        <w:rPr>
          <w:lang w:val="nl-NL"/>
        </w:rPr>
      </w:pPr>
      <w:r w:rsidRPr="009E2077">
        <w:rPr>
          <w:rStyle w:val="FootnoteReference"/>
        </w:rPr>
        <w:footnoteRef/>
      </w:r>
      <w:r w:rsidRPr="009E2077">
        <w:rPr>
          <w:lang w:val="nl-NL"/>
        </w:rPr>
        <w:t xml:space="preserve"> </w:t>
      </w:r>
      <w:r w:rsidR="00FC7140">
        <w:rPr>
          <w:lang w:val="nl-NL"/>
        </w:rPr>
        <w:tab/>
      </w:r>
      <w:r w:rsidRPr="009E2077">
        <w:rPr>
          <w:lang w:val="nl-NL"/>
        </w:rPr>
        <w:t xml:space="preserve">In detail: NemzetiMunkaügyiHivatal 2014 op. cit. 33-37; </w:t>
      </w:r>
    </w:p>
    <w:p w:rsidR="00476DE8" w:rsidRPr="009E2077" w:rsidRDefault="00476DE8" w:rsidP="00FC7140">
      <w:pPr>
        <w:pStyle w:val="RM"/>
        <w:ind w:firstLine="0"/>
      </w:pPr>
      <w:r w:rsidRPr="009E2077">
        <w:t xml:space="preserve">EMMI Decree No. 51/2012., sec. 2/B., Appendix 8 and 11 (see: </w:t>
      </w:r>
      <w:hyperlink r:id="rId18" w:history="1">
        <w:r w:rsidRPr="009E2077">
          <w:rPr>
            <w:rStyle w:val="Hyperlink"/>
          </w:rPr>
          <w:t>http://njt.hu/cgi_bin/njt_doc.cgi?docid=157752.332959</w:t>
        </w:r>
      </w:hyperlink>
      <w:r w:rsidR="00FC7140">
        <w:t>; in Hungarian).</w:t>
      </w:r>
    </w:p>
  </w:footnote>
  <w:footnote w:id="33">
    <w:p w:rsidR="00476DE8" w:rsidRPr="009E2077" w:rsidRDefault="00476DE8" w:rsidP="008755BA">
      <w:pPr>
        <w:pStyle w:val="RM"/>
      </w:pPr>
      <w:r w:rsidRPr="009E2077">
        <w:rPr>
          <w:rStyle w:val="FootnoteReference"/>
        </w:rPr>
        <w:footnoteRef/>
      </w:r>
      <w:r w:rsidR="00FC7140">
        <w:t xml:space="preserve"> </w:t>
      </w:r>
      <w:r w:rsidR="00FC7140">
        <w:tab/>
      </w:r>
      <w:r w:rsidRPr="009E2077">
        <w:t>Ibid.</w:t>
      </w:r>
    </w:p>
  </w:footnote>
  <w:footnote w:id="34">
    <w:p w:rsidR="00476DE8" w:rsidRPr="009E2077" w:rsidRDefault="00476DE8" w:rsidP="008755BA">
      <w:pPr>
        <w:pStyle w:val="RM"/>
      </w:pPr>
      <w:r w:rsidRPr="009E2077">
        <w:rPr>
          <w:rStyle w:val="FootnoteReference"/>
        </w:rPr>
        <w:footnoteRef/>
      </w:r>
      <w:r w:rsidR="00FC7140">
        <w:t xml:space="preserve"> </w:t>
      </w:r>
      <w:r w:rsidR="00FC7140">
        <w:tab/>
      </w:r>
      <w:r w:rsidRPr="009E2077">
        <w:t>Ibid. 50</w:t>
      </w:r>
      <w:r w:rsidR="00FC7140">
        <w:t>.</w:t>
      </w:r>
    </w:p>
  </w:footnote>
  <w:footnote w:id="35">
    <w:p w:rsidR="00476DE8" w:rsidRPr="009E2077" w:rsidRDefault="00476DE8" w:rsidP="008755BA">
      <w:pPr>
        <w:pStyle w:val="RM"/>
      </w:pPr>
      <w:r w:rsidRPr="009E2077">
        <w:rPr>
          <w:rStyle w:val="FootnoteReference"/>
        </w:rPr>
        <w:footnoteRef/>
      </w:r>
      <w:r w:rsidR="00FC7140">
        <w:t xml:space="preserve"> </w:t>
      </w:r>
      <w:r w:rsidR="00FC7140">
        <w:tab/>
      </w:r>
      <w:hyperlink r:id="rId19" w:history="1">
        <w:r w:rsidRPr="009E2077">
          <w:rPr>
            <w:rStyle w:val="Hyperlink"/>
          </w:rPr>
          <w:t>www.ifjusagigarancia.hu</w:t>
        </w:r>
      </w:hyperlink>
      <w:r w:rsidR="00FC7140">
        <w:t>(in Hungarian).</w:t>
      </w:r>
    </w:p>
  </w:footnote>
  <w:footnote w:id="36">
    <w:p w:rsidR="00476DE8" w:rsidRPr="00FC7140" w:rsidRDefault="00476DE8" w:rsidP="008755BA">
      <w:pPr>
        <w:pStyle w:val="RM"/>
      </w:pPr>
      <w:r w:rsidRPr="009E2077">
        <w:rPr>
          <w:rStyle w:val="FootnoteReference"/>
        </w:rPr>
        <w:footnoteRef/>
      </w:r>
      <w:r w:rsidR="00FC7140">
        <w:t xml:space="preserve"> </w:t>
      </w:r>
      <w:r w:rsidR="00FC7140">
        <w:tab/>
      </w:r>
      <w:hyperlink r:id="rId20" w:history="1">
        <w:r w:rsidRPr="007E573F">
          <w:rPr>
            <w:rStyle w:val="Hyperlink"/>
          </w:rPr>
          <w:t>http://dolgoz6ok.hu/english</w:t>
        </w:r>
      </w:hyperlink>
      <w:r w:rsidR="00FC7140">
        <w:rPr>
          <w:rStyle w:val="Hyperlink"/>
          <w:u w:val="none"/>
        </w:rPr>
        <w:t>.</w:t>
      </w:r>
    </w:p>
  </w:footnote>
  <w:footnote w:id="37">
    <w:p w:rsidR="00476DE8" w:rsidRPr="00FC7140" w:rsidRDefault="00476DE8" w:rsidP="008755BA">
      <w:pPr>
        <w:pStyle w:val="RM"/>
      </w:pPr>
      <w:r w:rsidRPr="009E2077">
        <w:rPr>
          <w:rStyle w:val="FootnoteReference"/>
        </w:rPr>
        <w:footnoteRef/>
      </w:r>
      <w:r w:rsidR="00FC7140">
        <w:t xml:space="preserve"> </w:t>
      </w:r>
      <w:r w:rsidR="00FC7140">
        <w:tab/>
      </w:r>
      <w:r w:rsidRPr="009E2077">
        <w:t xml:space="preserve">See in detail: </w:t>
      </w:r>
      <w:hyperlink r:id="rId21" w:history="1">
        <w:r w:rsidRPr="009E2077">
          <w:rPr>
            <w:rStyle w:val="Hyperlink"/>
          </w:rPr>
          <w:t>http://salvavita.hu/en/</w:t>
        </w:r>
      </w:hyperlink>
      <w:r w:rsidR="00FC7140">
        <w:rPr>
          <w:rStyle w:val="Hyperlink"/>
          <w:u w:val="none"/>
        </w:rPr>
        <w:t>.</w:t>
      </w:r>
    </w:p>
  </w:footnote>
  <w:footnote w:id="38">
    <w:p w:rsidR="00476DE8" w:rsidRPr="007E573F" w:rsidRDefault="00476DE8" w:rsidP="008755BA">
      <w:pPr>
        <w:pStyle w:val="RM"/>
      </w:pPr>
      <w:r w:rsidRPr="009E2077">
        <w:rPr>
          <w:rStyle w:val="FootnoteReference"/>
        </w:rPr>
        <w:footnoteRef/>
      </w:r>
      <w:r w:rsidR="00FC7140">
        <w:t xml:space="preserve"> </w:t>
      </w:r>
      <w:r w:rsidR="00FC7140">
        <w:tab/>
      </w:r>
      <w:hyperlink r:id="rId22" w:history="1">
        <w:r w:rsidRPr="007E573F">
          <w:rPr>
            <w:rStyle w:val="Hyperlink"/>
          </w:rPr>
          <w:t>http://njt.hu/cgi_bin/njt_doc.cgi?docid=139884.314726</w:t>
        </w:r>
      </w:hyperlink>
      <w:r w:rsidRPr="007E573F">
        <w:t xml:space="preserve"> (in Hungarian)</w:t>
      </w:r>
      <w:r w:rsidR="00FC7140">
        <w:t>.</w:t>
      </w:r>
    </w:p>
  </w:footnote>
  <w:footnote w:id="39">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30-38</w:t>
      </w:r>
      <w:r w:rsidR="00FC7140">
        <w:t>.</w:t>
      </w:r>
    </w:p>
  </w:footnote>
  <w:footnote w:id="40">
    <w:p w:rsidR="00476DE8" w:rsidRPr="009E2077" w:rsidRDefault="00476DE8" w:rsidP="008755BA">
      <w:pPr>
        <w:pStyle w:val="RM"/>
      </w:pPr>
      <w:r w:rsidRPr="009E2077">
        <w:rPr>
          <w:rStyle w:val="FootnoteReference"/>
        </w:rPr>
        <w:footnoteRef/>
      </w:r>
      <w:r w:rsidRPr="009E2077">
        <w:t xml:space="preserve"> </w:t>
      </w:r>
      <w:r w:rsidR="00FC7140">
        <w:tab/>
      </w:r>
      <w:r w:rsidRPr="009E2077">
        <w:t>APLWA Act, sec. 6-10</w:t>
      </w:r>
      <w:r w:rsidR="00FC7140">
        <w:t>.</w:t>
      </w:r>
    </w:p>
  </w:footnote>
  <w:footnote w:id="41">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2</w:t>
      </w:r>
      <w:r w:rsidR="00FC7140">
        <w:t>.</w:t>
      </w:r>
    </w:p>
  </w:footnote>
  <w:footnote w:id="42">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11-12</w:t>
      </w:r>
      <w:r w:rsidR="00FC7140">
        <w:t>.</w:t>
      </w:r>
    </w:p>
  </w:footnote>
  <w:footnote w:id="43">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NEFMI Decree No. 7/2012. (II.14.); see: </w:t>
      </w:r>
      <w:hyperlink r:id="rId23" w:history="1">
        <w:r w:rsidRPr="009E2077">
          <w:rPr>
            <w:rStyle w:val="Hyperlink"/>
          </w:rPr>
          <w:t>http://njt.hu/cgi_bin/njt_doc.cgi?docid=143912.332807</w:t>
        </w:r>
      </w:hyperlink>
      <w:r w:rsidRPr="009E2077">
        <w:t xml:space="preserve"> (in Hungarian)</w:t>
      </w:r>
      <w:r w:rsidR="00FC7140">
        <w:t>.</w:t>
      </w:r>
    </w:p>
  </w:footnote>
  <w:footnote w:id="44">
    <w:p w:rsidR="00476DE8" w:rsidRPr="00FC7140" w:rsidRDefault="00476DE8" w:rsidP="008755BA">
      <w:pPr>
        <w:pStyle w:val="RM"/>
      </w:pPr>
      <w:r w:rsidRPr="009E2077">
        <w:rPr>
          <w:rStyle w:val="FootnoteReference"/>
        </w:rPr>
        <w:footnoteRef/>
      </w:r>
      <w:r w:rsidR="00FC7140">
        <w:t xml:space="preserve"> </w:t>
      </w:r>
      <w:r w:rsidR="00FC7140">
        <w:tab/>
      </w:r>
      <w:r w:rsidRPr="009E2077">
        <w:t xml:space="preserve">CSO, </w:t>
      </w:r>
      <w:r w:rsidRPr="009E2077">
        <w:rPr>
          <w:i/>
        </w:rPr>
        <w:t>Szociális ellátások, szociális helyzetkép a megyékben</w:t>
      </w:r>
      <w:r w:rsidRPr="009E2077">
        <w:t xml:space="preserve">, CSO, Budapest, April 2014, 21-22, </w:t>
      </w:r>
      <w:hyperlink r:id="rId24" w:history="1">
        <w:r w:rsidRPr="009E2077">
          <w:rPr>
            <w:rStyle w:val="Hyperlink"/>
          </w:rPr>
          <w:t>https://www.ksh.hu/docs/hun/xftp/idoszaki/regiok/debrecenmiskolcszocialis.pdf</w:t>
        </w:r>
      </w:hyperlink>
      <w:r w:rsidR="00FC7140">
        <w:rPr>
          <w:rStyle w:val="Hyperlink"/>
          <w:u w:val="none"/>
        </w:rPr>
        <w:t>.</w:t>
      </w:r>
    </w:p>
  </w:footnote>
  <w:footnote w:id="45">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See: APLWA Act, sec. 6-10, Gov. Decree No. 327/2011. (XII.29.), sec. 16-21/A., 21/F. (see: </w:t>
      </w:r>
      <w:hyperlink r:id="rId25" w:history="1">
        <w:r w:rsidRPr="009E2077">
          <w:rPr>
            <w:rStyle w:val="Hyperlink"/>
          </w:rPr>
          <w:t>http://njt.hu/cgi_bin/njt_doc.cgi?docid=140329.334950</w:t>
        </w:r>
      </w:hyperlink>
      <w:r w:rsidR="00FC7140">
        <w:t>; in Hungarian).</w:t>
      </w:r>
    </w:p>
  </w:footnote>
  <w:footnote w:id="46">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9(3), 11-13</w:t>
      </w:r>
      <w:r w:rsidR="00FC7140">
        <w:t>.</w:t>
      </w:r>
    </w:p>
  </w:footnote>
  <w:footnote w:id="47">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Act CVI of 2011 on public works scheme and the amendment of specific laws (hereinafter: PWS Act); see: </w:t>
      </w:r>
      <w:hyperlink r:id="rId26" w:history="1">
        <w:r w:rsidRPr="009E2077">
          <w:rPr>
            <w:rStyle w:val="Hyperlink"/>
          </w:rPr>
          <w:t>http://njt.hu/cgi_bin/njt_doc.cgi?docid=139197.328165</w:t>
        </w:r>
      </w:hyperlink>
      <w:r w:rsidRPr="009E2077">
        <w:t xml:space="preserve"> (in Hungarian).</w:t>
      </w:r>
    </w:p>
  </w:footnote>
  <w:footnote w:id="48">
    <w:p w:rsidR="00476DE8" w:rsidRPr="009E2077" w:rsidRDefault="00476DE8" w:rsidP="008755BA">
      <w:pPr>
        <w:pStyle w:val="RM"/>
      </w:pPr>
      <w:r w:rsidRPr="009E2077">
        <w:rPr>
          <w:rStyle w:val="FootnoteReference"/>
        </w:rPr>
        <w:footnoteRef/>
      </w:r>
      <w:r w:rsidR="00FC7140">
        <w:t xml:space="preserve"> </w:t>
      </w:r>
      <w:r w:rsidR="00FC7140">
        <w:tab/>
      </w:r>
      <w:r w:rsidRPr="009E2077">
        <w:t>PWS Act, sec. 1(4)(b)</w:t>
      </w:r>
      <w:r w:rsidR="00FC7140">
        <w:t>.</w:t>
      </w:r>
    </w:p>
  </w:footnote>
  <w:footnote w:id="49">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PWS Act, sec. 1(2c), Gov. Decree No. 170/2011. (VIII.24.) (see: </w:t>
      </w:r>
      <w:hyperlink r:id="rId27" w:history="1">
        <w:r w:rsidRPr="009E2077">
          <w:rPr>
            <w:rStyle w:val="Hyperlink"/>
          </w:rPr>
          <w:t>http://njt.hu/cgi_bin/njt_doc.cgi?docid=139759.332630</w:t>
        </w:r>
      </w:hyperlink>
      <w:r w:rsidRPr="009E2077">
        <w:t>; in Hungarian). In more details: Table 5 under section 2.4.</w:t>
      </w:r>
    </w:p>
  </w:footnote>
  <w:footnote w:id="50">
    <w:p w:rsidR="00476DE8" w:rsidRPr="009E2077" w:rsidRDefault="00476DE8" w:rsidP="008755BA">
      <w:pPr>
        <w:pStyle w:val="RM"/>
      </w:pPr>
      <w:r w:rsidRPr="009E2077">
        <w:rPr>
          <w:rStyle w:val="FootnoteReference"/>
        </w:rPr>
        <w:footnoteRef/>
      </w:r>
      <w:r w:rsidR="00FC7140">
        <w:t xml:space="preserve"> </w:t>
      </w:r>
      <w:r w:rsidR="00FC7140">
        <w:tab/>
      </w:r>
      <w:r w:rsidRPr="009E2077">
        <w:t>District offices are the local units of the metropolitan or county government offices.</w:t>
      </w:r>
    </w:p>
  </w:footnote>
  <w:footnote w:id="51">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Gov. Decree No. 375/2010. (III.31.); see: </w:t>
      </w:r>
      <w:hyperlink r:id="rId28" w:history="1">
        <w:r w:rsidRPr="009E2077">
          <w:rPr>
            <w:rStyle w:val="Hyperlink"/>
          </w:rPr>
          <w:t>http://njt.hu/cgi_bin/njt_doc.cgi?docid=133934.325257</w:t>
        </w:r>
      </w:hyperlink>
      <w:r w:rsidRPr="009E2077">
        <w:t xml:space="preserve"> (in Hungarian)</w:t>
      </w:r>
      <w:r w:rsidR="00FC7140">
        <w:t>.</w:t>
      </w:r>
      <w:r w:rsidRPr="009E2077">
        <w:t xml:space="preserve"> </w:t>
      </w:r>
    </w:p>
  </w:footnote>
  <w:footnote w:id="52">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Gov. Decree No. 36/2015 (XII.28); see: </w:t>
      </w:r>
      <w:hyperlink r:id="rId29" w:history="1">
        <w:r w:rsidRPr="009E2077">
          <w:rPr>
            <w:rStyle w:val="Hyperlink"/>
          </w:rPr>
          <w:t>https://net.jogtar.hu/jr/gen/hjegy_doc.cgi?docid=a1500036.ngm</w:t>
        </w:r>
      </w:hyperlink>
      <w:r w:rsidRPr="009E2077">
        <w:t xml:space="preserve"> (in Hungarian)</w:t>
      </w:r>
      <w:r w:rsidR="00FC7140">
        <w:t>.</w:t>
      </w:r>
    </w:p>
  </w:footnote>
  <w:footnote w:id="53">
    <w:p w:rsidR="00476DE8" w:rsidRPr="009E2077" w:rsidRDefault="00476DE8" w:rsidP="008755BA">
      <w:pPr>
        <w:pStyle w:val="RM"/>
      </w:pPr>
      <w:r w:rsidRPr="009E2077">
        <w:rPr>
          <w:rStyle w:val="FootnoteReference"/>
        </w:rPr>
        <w:footnoteRef/>
      </w:r>
      <w:r w:rsidRPr="009E2077">
        <w:t xml:space="preserve"> </w:t>
      </w:r>
      <w:r w:rsidR="00FC7140">
        <w:tab/>
      </w:r>
      <w:r w:rsidRPr="009E2077">
        <w:t>PWS Act, sec. 2(1)(4a)</w:t>
      </w:r>
      <w:r w:rsidR="00FC7140">
        <w:t>.</w:t>
      </w:r>
    </w:p>
  </w:footnote>
  <w:footnote w:id="54">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Act III of 1993 on social administration and social benefits (hereinafter: SASB Act), sec. 36(2)(ea); see: </w:t>
      </w:r>
      <w:hyperlink r:id="rId30" w:history="1">
        <w:r w:rsidRPr="009E2077">
          <w:rPr>
            <w:rStyle w:val="Hyperlink"/>
          </w:rPr>
          <w:t>http://njt.hu/cgi_bin/njt_doc.cgi?docid=18618.316656</w:t>
        </w:r>
      </w:hyperlink>
      <w:r w:rsidRPr="009E2077">
        <w:t xml:space="preserve"> (in Hungarian)</w:t>
      </w:r>
      <w:r w:rsidR="00FC7140">
        <w:t>.</w:t>
      </w:r>
    </w:p>
  </w:footnote>
  <w:footnote w:id="55">
    <w:p w:rsidR="00476DE8" w:rsidRPr="009E2077" w:rsidRDefault="00476DE8" w:rsidP="008755BA">
      <w:pPr>
        <w:pStyle w:val="RM"/>
      </w:pPr>
      <w:r w:rsidRPr="009E2077">
        <w:rPr>
          <w:rStyle w:val="FootnoteReference"/>
        </w:rPr>
        <w:footnoteRef/>
      </w:r>
      <w:r w:rsidRPr="009E2077">
        <w:t xml:space="preserve"> </w:t>
      </w:r>
      <w:r w:rsidR="00FC7140">
        <w:tab/>
      </w:r>
      <w:r w:rsidRPr="009E2077">
        <w:t>PWS Act, sec. 2(3a)(3c)</w:t>
      </w:r>
      <w:r w:rsidR="00FC7140">
        <w:t>.</w:t>
      </w:r>
    </w:p>
  </w:footnote>
  <w:footnote w:id="56">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Ministry of Interior, </w:t>
      </w:r>
      <w:r w:rsidRPr="009E2077">
        <w:rPr>
          <w:i/>
        </w:rPr>
        <w:t>A közfoglalkoztatás megítélése a vállalatok körében a rövidtávú munkaerő-piaci prognosis adatfelvétel alapján</w:t>
      </w:r>
      <w:r w:rsidRPr="009E2077">
        <w:t xml:space="preserve">, BM, Budapest, 2016; available: </w:t>
      </w:r>
      <w:hyperlink r:id="rId31" w:history="1">
        <w:r w:rsidR="00FC7140" w:rsidRPr="00E26146">
          <w:rPr>
            <w:rStyle w:val="Hyperlink"/>
          </w:rPr>
          <w:t>http://kozfoglalkoztatas.kormany.hu/download/8/91/51000/K%C3%B6zfoglalkoztat%C3%A1s%20meg%C3%ADt%C3%A9l%C3%A9se%20a%20r%C3%B6vidt%C3%A1v%C3%BA%20munkaer%C5%91-piaci%20progn%C3%B3zis%20alapj%C3%A1n.pdf</w:t>
        </w:r>
      </w:hyperlink>
      <w:r w:rsidR="00FC7140">
        <w:t xml:space="preserve"> </w:t>
      </w:r>
      <w:r w:rsidRPr="009E2077">
        <w:t>(in Hungarian)</w:t>
      </w:r>
      <w:r w:rsidR="00FC7140">
        <w:t>.</w:t>
      </w:r>
    </w:p>
  </w:footnote>
  <w:footnote w:id="57">
    <w:p w:rsidR="00476DE8" w:rsidRPr="009E2077" w:rsidRDefault="00476DE8" w:rsidP="008755BA">
      <w:pPr>
        <w:pStyle w:val="RM"/>
      </w:pPr>
      <w:r w:rsidRPr="009E2077">
        <w:rPr>
          <w:rStyle w:val="FootnoteReference"/>
        </w:rPr>
        <w:footnoteRef/>
      </w:r>
      <w:r w:rsidR="00FC7140">
        <w:t xml:space="preserve"> </w:t>
      </w:r>
      <w:r w:rsidR="00FC7140">
        <w:tab/>
      </w:r>
      <w:r w:rsidRPr="009E2077">
        <w:t>It should be noted that most of the provisions of the Labour Code apply also for public employment relationships.</w:t>
      </w:r>
    </w:p>
  </w:footnote>
  <w:footnote w:id="58">
    <w:p w:rsidR="00476DE8" w:rsidRPr="009E2077" w:rsidRDefault="00476DE8" w:rsidP="008755BA">
      <w:pPr>
        <w:pStyle w:val="RM"/>
      </w:pPr>
      <w:r w:rsidRPr="009E2077">
        <w:rPr>
          <w:rStyle w:val="FootnoteReference"/>
        </w:rPr>
        <w:footnoteRef/>
      </w:r>
      <w:r w:rsidR="00FC7140">
        <w:t xml:space="preserve"> </w:t>
      </w:r>
      <w:r w:rsidR="00FC7140">
        <w:tab/>
      </w:r>
      <w:r w:rsidRPr="009E2077">
        <w:t>County Report 2016 op. cit., 42</w:t>
      </w:r>
      <w:r w:rsidR="00FC7140">
        <w:t>.</w:t>
      </w:r>
    </w:p>
  </w:footnote>
  <w:footnote w:id="59">
    <w:p w:rsidR="00476DE8" w:rsidRPr="009E2077" w:rsidRDefault="00476DE8" w:rsidP="008755BA">
      <w:pPr>
        <w:pStyle w:val="RM"/>
      </w:pPr>
      <w:r w:rsidRPr="009E2077">
        <w:rPr>
          <w:rStyle w:val="FootnoteReference"/>
        </w:rPr>
        <w:footnoteRef/>
      </w:r>
      <w:r w:rsidRPr="009E2077">
        <w:t xml:space="preserve"> </w:t>
      </w:r>
      <w:r w:rsidR="00FC7140">
        <w:tab/>
      </w:r>
      <w:r w:rsidRPr="009E2077">
        <w:t>Ibid, 43</w:t>
      </w:r>
      <w:r w:rsidR="00FC7140">
        <w:t>.</w:t>
      </w:r>
    </w:p>
  </w:footnote>
  <w:footnote w:id="60">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25</w:t>
      </w:r>
      <w:r w:rsidR="00FC7140">
        <w:t>.</w:t>
      </w:r>
    </w:p>
  </w:footnote>
  <w:footnote w:id="61">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On the accreditation process in more detail: Gov. Decree No. 327/2012. (XI.16.) (see: </w:t>
      </w:r>
      <w:hyperlink r:id="rId32" w:history="1">
        <w:r w:rsidRPr="009E2077">
          <w:rPr>
            <w:rStyle w:val="Hyperlink"/>
          </w:rPr>
          <w:t>http://njt.hu/cgi_bin/njt_doc.cgi?docid=155832.330613</w:t>
        </w:r>
      </w:hyperlink>
      <w:r w:rsidRPr="009E2077">
        <w:t>; in Hungarian)</w:t>
      </w:r>
      <w:r w:rsidR="00FC7140">
        <w:t>.</w:t>
      </w:r>
    </w:p>
  </w:footnote>
  <w:footnote w:id="62">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Document on the outcomes of the OP is available: </w:t>
      </w:r>
      <w:hyperlink r:id="rId33" w:history="1">
        <w:r w:rsidRPr="009E2077">
          <w:rPr>
            <w:rStyle w:val="Hyperlink"/>
          </w:rPr>
          <w:t>http://nfsz.munka.hu/engine.aspx?page=full_tamop_tamop111</w:t>
        </w:r>
      </w:hyperlink>
      <w:r w:rsidRPr="009E2077">
        <w:t xml:space="preserve"> (In Hungarian).</w:t>
      </w:r>
    </w:p>
  </w:footnote>
  <w:footnote w:id="63">
    <w:p w:rsidR="00476DE8" w:rsidRPr="009E2077" w:rsidRDefault="00476DE8" w:rsidP="008755BA">
      <w:pPr>
        <w:pStyle w:val="RM"/>
      </w:pPr>
      <w:r w:rsidRPr="009E2077">
        <w:rPr>
          <w:rStyle w:val="FootnoteReference"/>
        </w:rPr>
        <w:footnoteRef/>
      </w:r>
      <w:r w:rsidR="00FC7140">
        <w:t xml:space="preserve"> </w:t>
      </w:r>
      <w:r w:rsidR="00FC7140">
        <w:tab/>
      </w:r>
      <w:r w:rsidRPr="009E2077">
        <w:t>Resource: ibid.</w:t>
      </w:r>
    </w:p>
  </w:footnote>
  <w:footnote w:id="64">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About EFOP 1.1.1: </w:t>
      </w:r>
      <w:hyperlink r:id="rId34" w:history="1">
        <w:r w:rsidR="00FC7140" w:rsidRPr="00E26146">
          <w:rPr>
            <w:rStyle w:val="Hyperlink"/>
          </w:rPr>
          <w:t>http://www.kormanyhivatal.hu/download/4/fc/d2000/EFOP%20111%20t%C3%A1j%C3%A9koztat%C3%B3_20160725.docx</w:t>
        </w:r>
      </w:hyperlink>
      <w:r w:rsidR="00FC7140">
        <w:t xml:space="preserve"> </w:t>
      </w:r>
      <w:r w:rsidRPr="009E2077">
        <w:t>(in Hungarian)</w:t>
      </w:r>
      <w:r w:rsidR="00FC7140">
        <w:t>.</w:t>
      </w:r>
    </w:p>
  </w:footnote>
  <w:footnote w:id="65">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Act CXXIII of 2004, sec. 16/A-B (see: </w:t>
      </w:r>
      <w:hyperlink r:id="rId35" w:history="1">
        <w:r w:rsidRPr="009E2077">
          <w:rPr>
            <w:rStyle w:val="Hyperlink"/>
          </w:rPr>
          <w:t>http://njt.hu/cgi_bin/njt_doc.cgi?docid=85785.331905</w:t>
        </w:r>
      </w:hyperlink>
      <w:r w:rsidR="00FC7140">
        <w:t>; in Hungarian).</w:t>
      </w:r>
    </w:p>
  </w:footnote>
  <w:footnote w:id="66">
    <w:p w:rsidR="00476DE8" w:rsidRPr="009E2077" w:rsidRDefault="00476DE8" w:rsidP="008755BA">
      <w:pPr>
        <w:pStyle w:val="RM"/>
      </w:pPr>
      <w:r w:rsidRPr="009E2077">
        <w:rPr>
          <w:rStyle w:val="FootnoteReference"/>
        </w:rPr>
        <w:footnoteRef/>
      </w:r>
      <w:r w:rsidR="00FC7140">
        <w:t xml:space="preserve"> </w:t>
      </w:r>
      <w:r w:rsidR="00FC7140">
        <w:tab/>
      </w:r>
      <w:r w:rsidRPr="009E2077">
        <w:t>APLWA Act, sec. 22-26/A</w:t>
      </w:r>
      <w:r w:rsidR="00FC7140">
        <w:t>.</w:t>
      </w:r>
    </w:p>
  </w:footnote>
  <w:footnote w:id="67">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Act IV of 1991 on supporting of employment and benefits for the unemployment (hereinafter: SEBU Act), sec. 16; see: </w:t>
      </w:r>
      <w:hyperlink r:id="rId36" w:history="1">
        <w:r w:rsidRPr="009E2077">
          <w:rPr>
            <w:rStyle w:val="Hyperlink"/>
          </w:rPr>
          <w:t>http://njt.hu/cgi_bin/njt_doc.cgi?docid=14929.328102</w:t>
        </w:r>
      </w:hyperlink>
      <w:r w:rsidRPr="009E2077">
        <w:t>; in Hungarian</w:t>
      </w:r>
      <w:r w:rsidR="00FC7140">
        <w:t>.</w:t>
      </w:r>
    </w:p>
  </w:footnote>
  <w:footnote w:id="68">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See: </w:t>
      </w:r>
      <w:hyperlink r:id="rId37" w:history="1">
        <w:r w:rsidRPr="009E2077">
          <w:rPr>
            <w:rStyle w:val="Hyperlink"/>
          </w:rPr>
          <w:t>http://njt.hu/cgi_bin/njt_doc.cgi?docid=143164.323148</w:t>
        </w:r>
      </w:hyperlink>
      <w:r w:rsidRPr="009E2077">
        <w:t>; in Hungarian</w:t>
      </w:r>
      <w:r w:rsidR="00FC7140">
        <w:t>.</w:t>
      </w:r>
    </w:p>
  </w:footnote>
  <w:footnote w:id="69">
    <w:p w:rsidR="00476DE8" w:rsidRPr="009E2077" w:rsidRDefault="00476DE8" w:rsidP="008755BA">
      <w:pPr>
        <w:pStyle w:val="RM"/>
      </w:pPr>
      <w:r w:rsidRPr="009E2077">
        <w:rPr>
          <w:rStyle w:val="FootnoteReference"/>
        </w:rPr>
        <w:footnoteRef/>
      </w:r>
      <w:r w:rsidR="00FC7140">
        <w:t xml:space="preserve"> </w:t>
      </w:r>
      <w:r w:rsidR="00FC7140">
        <w:tab/>
      </w:r>
      <w:r w:rsidRPr="009E2077">
        <w:t>LC sec. 51(5)</w:t>
      </w:r>
      <w:r w:rsidR="00FC7140">
        <w:t>.</w:t>
      </w:r>
    </w:p>
  </w:footnote>
  <w:footnote w:id="70">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E.g. Act CXCIX of 2011 on Civil Servants of Public Services (hereinafter: CSPS Act), sec. 75 (see: </w:t>
      </w:r>
      <w:hyperlink r:id="rId38" w:history="1">
        <w:r w:rsidRPr="009E2077">
          <w:rPr>
            <w:rStyle w:val="Hyperlink"/>
          </w:rPr>
          <w:t>http://njt.hu/cgi_bin/njt_doc.cgi?docid=142936.322316</w:t>
        </w:r>
      </w:hyperlink>
      <w:r w:rsidRPr="009E2077">
        <w:t>; in Hungarian)</w:t>
      </w:r>
      <w:r w:rsidR="00FC7140">
        <w:t>.</w:t>
      </w:r>
    </w:p>
    <w:p w:rsidR="00476DE8" w:rsidRPr="009E2077" w:rsidRDefault="00476DE8" w:rsidP="00FC7140">
      <w:pPr>
        <w:pStyle w:val="RM"/>
        <w:ind w:firstLine="0"/>
      </w:pPr>
      <w:r w:rsidRPr="009E2077">
        <w:t xml:space="preserve">Act XXXIII of 1992 on the Legal Status of the Public Employees (hereinafter: LSPE Act), sec. 2(3) (see: </w:t>
      </w:r>
      <w:hyperlink r:id="rId39" w:history="1">
        <w:r w:rsidRPr="009E2077">
          <w:rPr>
            <w:rStyle w:val="Hyperlink"/>
          </w:rPr>
          <w:t>http://njt.hu/cgi_bin/njt_doc.cgi?docid=17120.222321</w:t>
        </w:r>
      </w:hyperlink>
      <w:r w:rsidRPr="009E2077">
        <w:t>; in Hungarian)</w:t>
      </w:r>
      <w:r w:rsidR="00FC7140">
        <w:t>.</w:t>
      </w:r>
    </w:p>
  </w:footnote>
  <w:footnote w:id="71">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NM Decree No. 33/1998, sec.13(2) (see: </w:t>
      </w:r>
      <w:hyperlink r:id="rId40" w:history="1">
        <w:r w:rsidRPr="009E2077">
          <w:rPr>
            <w:rStyle w:val="Hyperlink"/>
          </w:rPr>
          <w:t>http://njt.hu/cgi_bin/njt_doc.cgi?docid=34692.333426</w:t>
        </w:r>
      </w:hyperlink>
      <w:r w:rsidR="00FC7140">
        <w:t>; in Hungarian</w:t>
      </w:r>
      <w:r w:rsidRPr="009E2077">
        <w:t>)</w:t>
      </w:r>
      <w:r w:rsidR="00FC7140">
        <w:t>.</w:t>
      </w:r>
    </w:p>
  </w:footnote>
  <w:footnote w:id="72">
    <w:p w:rsidR="00476DE8" w:rsidRPr="009E2077" w:rsidRDefault="00476DE8" w:rsidP="008755BA">
      <w:pPr>
        <w:pStyle w:val="RM"/>
      </w:pPr>
      <w:r w:rsidRPr="009E2077">
        <w:rPr>
          <w:rStyle w:val="FootnoteReference"/>
        </w:rPr>
        <w:footnoteRef/>
      </w:r>
      <w:r w:rsidRPr="009E2077">
        <w:t xml:space="preserve"> </w:t>
      </w:r>
      <w:r w:rsidR="00FC7140">
        <w:tab/>
      </w:r>
      <w:r w:rsidRPr="009E2077">
        <w:t>Gov. Decree 327/2012. (XI.16.), sec. 17-22</w:t>
      </w:r>
      <w:r w:rsidR="00FC7140">
        <w:t>.</w:t>
      </w:r>
    </w:p>
  </w:footnote>
  <w:footnote w:id="73">
    <w:p w:rsidR="00476DE8" w:rsidRPr="009E2077" w:rsidRDefault="00476DE8" w:rsidP="008755BA">
      <w:pPr>
        <w:pStyle w:val="RM"/>
      </w:pPr>
      <w:r w:rsidRPr="009E2077">
        <w:rPr>
          <w:rStyle w:val="FootnoteReference"/>
        </w:rPr>
        <w:footnoteRef/>
      </w:r>
      <w:r w:rsidRPr="009E2077">
        <w:t xml:space="preserve"> </w:t>
      </w:r>
      <w:r w:rsidR="00FC7140">
        <w:tab/>
      </w:r>
      <w:r w:rsidRPr="009E2077">
        <w:t>Ibid, sec.41</w:t>
      </w:r>
      <w:r w:rsidR="00FC7140">
        <w:t>.</w:t>
      </w:r>
    </w:p>
  </w:footnote>
  <w:footnote w:id="74">
    <w:p w:rsidR="00476DE8" w:rsidRPr="009E2077" w:rsidRDefault="00476DE8" w:rsidP="008755BA">
      <w:pPr>
        <w:pStyle w:val="RM"/>
      </w:pPr>
      <w:r w:rsidRPr="009E2077">
        <w:rPr>
          <w:rStyle w:val="FootnoteReference"/>
        </w:rPr>
        <w:footnoteRef/>
      </w:r>
      <w:r w:rsidR="00FC7140">
        <w:t xml:space="preserve"> </w:t>
      </w:r>
      <w:r w:rsidR="00FC7140">
        <w:tab/>
      </w:r>
      <w:r w:rsidRPr="009E2077">
        <w:t>Ibid, sec. 8, 16</w:t>
      </w:r>
      <w:r w:rsidR="00FC7140">
        <w:t>.</w:t>
      </w:r>
    </w:p>
  </w:footnote>
  <w:footnote w:id="75">
    <w:p w:rsidR="00476DE8" w:rsidRPr="009E2077" w:rsidRDefault="00476DE8" w:rsidP="008755BA">
      <w:pPr>
        <w:pStyle w:val="RM"/>
      </w:pPr>
      <w:r w:rsidRPr="009E2077">
        <w:rPr>
          <w:rStyle w:val="FootnoteReference"/>
        </w:rPr>
        <w:footnoteRef/>
      </w:r>
      <w:r w:rsidR="00FC7140">
        <w:t xml:space="preserve"> </w:t>
      </w:r>
      <w:r w:rsidR="00FC7140">
        <w:tab/>
      </w:r>
      <w:r w:rsidRPr="009E2077">
        <w:t xml:space="preserve">Act XC of 2016 on the central budget law of Hungary in 2017, Chapter XX, Title 20, Subtitle 47; see: </w:t>
      </w:r>
      <w:hyperlink r:id="rId41" w:history="1">
        <w:r w:rsidRPr="009E2077">
          <w:rPr>
            <w:rStyle w:val="Hyperlink"/>
          </w:rPr>
          <w:t>http://njt.hu/cgi_bin/njt_doc.cgi?docid=196082.323548</w:t>
        </w:r>
      </w:hyperlink>
      <w:r w:rsidRPr="009E2077">
        <w:t>; in Hungarian</w:t>
      </w:r>
      <w:r w:rsidR="00FC7140">
        <w:t>.</w:t>
      </w:r>
    </w:p>
  </w:footnote>
  <w:footnote w:id="76">
    <w:p w:rsidR="00476DE8" w:rsidRPr="009E2077" w:rsidRDefault="00476DE8" w:rsidP="008755BA">
      <w:pPr>
        <w:pStyle w:val="RM"/>
      </w:pPr>
      <w:r w:rsidRPr="009E2077">
        <w:rPr>
          <w:rStyle w:val="FootnoteReference"/>
        </w:rPr>
        <w:footnoteRef/>
      </w:r>
      <w:r w:rsidR="00FC7140">
        <w:t xml:space="preserve"> </w:t>
      </w:r>
      <w:r w:rsidR="00FC7140">
        <w:tab/>
      </w:r>
      <w:r w:rsidRPr="009E2077">
        <w:t>Ibid, Chapter XLII</w:t>
      </w:r>
      <w:r w:rsidR="00FC7140">
        <w:t>.</w:t>
      </w:r>
    </w:p>
  </w:footnote>
  <w:footnote w:id="77">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Gov. Decree No. 170/2011. (VIII.24.); see: </w:t>
      </w:r>
      <w:hyperlink r:id="rId42" w:history="1">
        <w:r w:rsidRPr="009E2077">
          <w:rPr>
            <w:rStyle w:val="Hyperlink"/>
          </w:rPr>
          <w:t>http://njt.hu/cgi_bin/njt_doc.cgi?docid=139759.332630</w:t>
        </w:r>
      </w:hyperlink>
      <w:r w:rsidR="00AB2326">
        <w:t xml:space="preserve">; </w:t>
      </w:r>
      <w:r w:rsidRPr="009E2077">
        <w:t>in Hungarian</w:t>
      </w:r>
      <w:r w:rsidR="00FC7140">
        <w:t>.</w:t>
      </w:r>
    </w:p>
  </w:footnote>
  <w:footnote w:id="78">
    <w:p w:rsidR="00476DE8" w:rsidRPr="009E2077" w:rsidRDefault="00476DE8" w:rsidP="008755BA">
      <w:pPr>
        <w:pStyle w:val="RM"/>
      </w:pPr>
      <w:r w:rsidRPr="009E2077">
        <w:rPr>
          <w:rStyle w:val="FootnoteReference"/>
        </w:rPr>
        <w:footnoteRef/>
      </w:r>
      <w:r w:rsidRPr="009E2077">
        <w:t xml:space="preserve"> </w:t>
      </w:r>
      <w:r w:rsidR="00FC7140">
        <w:tab/>
      </w:r>
      <w:r w:rsidRPr="009E2077">
        <w:t xml:space="preserve">Source: </w:t>
      </w:r>
      <w:hyperlink r:id="rId43" w:history="1">
        <w:r w:rsidRPr="009E2077">
          <w:rPr>
            <w:rStyle w:val="Hyperlink"/>
          </w:rPr>
          <w:t>http://www.kormanyhivatal.hu/download/4/da/43000/Mi%20mennyi%202017.pdf</w:t>
        </w:r>
      </w:hyperlink>
      <w:r w:rsidRPr="009E2077">
        <w:t xml:space="preserve"> (in Hungarian)</w:t>
      </w:r>
      <w:r w:rsidR="00073F21">
        <w:t>.</w:t>
      </w:r>
    </w:p>
  </w:footnote>
  <w:footnote w:id="79">
    <w:p w:rsidR="00476DE8" w:rsidRPr="009E2077" w:rsidRDefault="00476DE8" w:rsidP="008755BA">
      <w:pPr>
        <w:pStyle w:val="RM"/>
      </w:pPr>
      <w:r w:rsidRPr="009E2077">
        <w:rPr>
          <w:rStyle w:val="FootnoteReference"/>
        </w:rPr>
        <w:footnoteRef/>
      </w:r>
      <w:r w:rsidR="00FC7140">
        <w:t xml:space="preserve"> </w:t>
      </w:r>
      <w:r w:rsidR="00FC7140">
        <w:tab/>
      </w:r>
      <w:r w:rsidRPr="009E2077">
        <w:t>Employees working in jobs with at least secondary school or secondary vocational school qualification requirement are entitled to guaranteed minimum wage.</w:t>
      </w:r>
    </w:p>
  </w:footnote>
  <w:footnote w:id="80">
    <w:p w:rsidR="00476DE8" w:rsidRPr="009E2077" w:rsidRDefault="00476DE8" w:rsidP="008755BA">
      <w:pPr>
        <w:pStyle w:val="RM"/>
      </w:pPr>
      <w:r w:rsidRPr="009E2077">
        <w:rPr>
          <w:rStyle w:val="FootnoteReference"/>
        </w:rPr>
        <w:footnoteRef/>
      </w:r>
      <w:r w:rsidR="00FC7140">
        <w:t xml:space="preserve"> </w:t>
      </w:r>
      <w:r w:rsidR="00FC7140">
        <w:tab/>
      </w:r>
      <w:r w:rsidRPr="009E2077">
        <w:t>Employees in PWS working in jobs with at least secondary school or secondary vocational school qualification requirement are entitled to guaranteed minimum wage in PWS.</w:t>
      </w:r>
    </w:p>
  </w:footnote>
  <w:footnote w:id="81">
    <w:p w:rsidR="00476DE8" w:rsidRPr="00073F21" w:rsidRDefault="00476DE8" w:rsidP="008755BA">
      <w:pPr>
        <w:pStyle w:val="RM"/>
      </w:pPr>
      <w:r w:rsidRPr="009E2077">
        <w:rPr>
          <w:rStyle w:val="FootnoteReference"/>
        </w:rPr>
        <w:footnoteRef/>
      </w:r>
      <w:r w:rsidR="00FC7140">
        <w:t xml:space="preserve"> </w:t>
      </w:r>
      <w:r w:rsidR="00FC7140">
        <w:tab/>
      </w:r>
      <w:r w:rsidRPr="009E2077">
        <w:t xml:space="preserve">See: </w:t>
      </w:r>
      <w:hyperlink r:id="rId44" w:history="1">
        <w:r w:rsidRPr="009E2077">
          <w:rPr>
            <w:rStyle w:val="Hyperlink"/>
          </w:rPr>
          <w:t>http://www.liganet.hu/news/9240/httranyag_a_2017-vre_szl_brtrgyalsokhoz.pdf</w:t>
        </w:r>
      </w:hyperlink>
      <w:r w:rsidRPr="009E2077">
        <w:t xml:space="preserve">; </w:t>
      </w:r>
      <w:hyperlink r:id="rId45" w:history="1">
        <w:r w:rsidRPr="009E2077">
          <w:rPr>
            <w:rStyle w:val="Hyperlink"/>
          </w:rPr>
          <w:t>http://www.ksh.hu/docs/hun/xstadat/xstadat_eves/i_qli041.html</w:t>
        </w:r>
      </w:hyperlink>
      <w:r w:rsidRPr="009E2077">
        <w:t xml:space="preserve">; </w:t>
      </w:r>
      <w:hyperlink r:id="rId46" w:history="1">
        <w:r w:rsidRPr="009E2077">
          <w:rPr>
            <w:rStyle w:val="Hyperlink"/>
          </w:rPr>
          <w:t>http://www.ksh.hu/docs/hun/xstadat/xstadat_eves/i_zhc011.html</w:t>
        </w:r>
      </w:hyperlink>
      <w:r w:rsidR="00073F21">
        <w:rPr>
          <w:rStyle w:val="Hyperlink"/>
          <w:u w:val="none"/>
        </w:rPr>
        <w:t>.</w:t>
      </w:r>
    </w:p>
  </w:footnote>
  <w:footnote w:id="82">
    <w:p w:rsidR="00476DE8" w:rsidRPr="009E2077" w:rsidRDefault="00476DE8" w:rsidP="008755BA">
      <w:pPr>
        <w:pStyle w:val="RM"/>
      </w:pPr>
      <w:r w:rsidRPr="009E2077">
        <w:rPr>
          <w:rStyle w:val="FootnoteReference"/>
        </w:rPr>
        <w:footnoteRef/>
      </w:r>
      <w:r w:rsidR="00073F21">
        <w:t xml:space="preserve"> </w:t>
      </w:r>
      <w:r w:rsidR="00073F21">
        <w:tab/>
      </w:r>
      <w:r w:rsidRPr="009E2077">
        <w:t xml:space="preserve">The category of social institution covers different types of dwellings functioning as homes or day care service provides for persons with disabilities or with other social disadvantages, from the outdated, large care institutions through specific rehabilitation institutions for persons with disabilities to the more modern forms of community living. (See in detail: </w:t>
      </w:r>
      <w:r w:rsidR="00073F21">
        <w:t>SASB Act, sec. 4(1)(h), 66-85/B</w:t>
      </w:r>
      <w:r w:rsidRPr="009E2077">
        <w:t>)</w:t>
      </w:r>
      <w:r w:rsidR="00073F21">
        <w:t>.</w:t>
      </w:r>
    </w:p>
  </w:footnote>
  <w:footnote w:id="83">
    <w:p w:rsidR="00476DE8" w:rsidRPr="009E2077" w:rsidRDefault="00476DE8" w:rsidP="008755BA">
      <w:pPr>
        <w:pStyle w:val="RM"/>
      </w:pPr>
      <w:r w:rsidRPr="009E2077">
        <w:rPr>
          <w:rStyle w:val="FootnoteReference"/>
        </w:rPr>
        <w:footnoteRef/>
      </w:r>
      <w:r w:rsidRPr="009E2077">
        <w:t xml:space="preserve"> </w:t>
      </w:r>
      <w:r w:rsidR="00073F21">
        <w:tab/>
        <w:t>SASB Act, sec. 99/B-E.</w:t>
      </w:r>
    </w:p>
  </w:footnote>
  <w:footnote w:id="84">
    <w:p w:rsidR="00476DE8" w:rsidRPr="009E2077" w:rsidRDefault="00476DE8" w:rsidP="008755BA">
      <w:pPr>
        <w:pStyle w:val="RM"/>
      </w:pPr>
      <w:r w:rsidRPr="009E2077">
        <w:rPr>
          <w:rStyle w:val="FootnoteReference"/>
        </w:rPr>
        <w:footnoteRef/>
      </w:r>
      <w:r w:rsidR="00073F21">
        <w:t xml:space="preserve"> </w:t>
      </w:r>
      <w:r w:rsidR="00073F21">
        <w:tab/>
      </w:r>
      <w:r w:rsidRPr="009E2077">
        <w:t>SASB Act, sec. 99/E</w:t>
      </w:r>
      <w:r w:rsidR="00073F21">
        <w:t>.</w:t>
      </w:r>
    </w:p>
  </w:footnote>
  <w:footnote w:id="85">
    <w:p w:rsidR="00476DE8" w:rsidRPr="009E2077" w:rsidRDefault="00476DE8" w:rsidP="008755BA">
      <w:pPr>
        <w:pStyle w:val="RM"/>
      </w:pPr>
      <w:r w:rsidRPr="009E2077">
        <w:rPr>
          <w:rStyle w:val="FootnoteReference"/>
        </w:rPr>
        <w:footnoteRef/>
      </w:r>
      <w:r w:rsidR="00073F21">
        <w:t xml:space="preserve"> </w:t>
      </w:r>
      <w:r w:rsidR="00073F21">
        <w:tab/>
      </w:r>
      <w:r w:rsidRPr="009E2077">
        <w:t>SASB Act, sec. 99/D</w:t>
      </w:r>
      <w:r w:rsidR="00073F21">
        <w:t>.</w:t>
      </w:r>
    </w:p>
  </w:footnote>
  <w:footnote w:id="86">
    <w:p w:rsidR="00476DE8" w:rsidRPr="009E2077" w:rsidRDefault="00476DE8" w:rsidP="008755BA">
      <w:pPr>
        <w:pStyle w:val="RM"/>
      </w:pPr>
      <w:r w:rsidRPr="009E2077">
        <w:rPr>
          <w:rStyle w:val="FootnoteReference"/>
        </w:rPr>
        <w:footnoteRef/>
      </w:r>
      <w:r w:rsidR="00073F21">
        <w:t xml:space="preserve"> </w:t>
      </w:r>
      <w:r w:rsidR="00073F21">
        <w:tab/>
      </w:r>
      <w:r w:rsidRPr="009E2077">
        <w:t xml:space="preserve">SASB Act, sec. 99/B(3)(4)(5); Gov. Decree No. 92/2008. (IV.23.); see: </w:t>
      </w:r>
      <w:hyperlink r:id="rId47" w:history="1">
        <w:r w:rsidRPr="009E2077">
          <w:rPr>
            <w:rStyle w:val="Hyperlink"/>
          </w:rPr>
          <w:t>http://njt.hu/cgi_bin/njt_doc.cgi?docid=118625.330304</w:t>
        </w:r>
      </w:hyperlink>
      <w:r w:rsidR="00073F21">
        <w:t>; in Hungarian.</w:t>
      </w:r>
    </w:p>
  </w:footnote>
  <w:footnote w:id="87">
    <w:p w:rsidR="00476DE8" w:rsidRPr="009E2077" w:rsidRDefault="00476DE8" w:rsidP="008755BA">
      <w:pPr>
        <w:pStyle w:val="RM"/>
      </w:pPr>
      <w:r w:rsidRPr="009E2077">
        <w:rPr>
          <w:rStyle w:val="FootnoteReference"/>
        </w:rPr>
        <w:footnoteRef/>
      </w:r>
      <w:r w:rsidR="00073F21">
        <w:t xml:space="preserve"> </w:t>
      </w:r>
      <w:r w:rsidR="00073F21">
        <w:tab/>
      </w:r>
      <w:r w:rsidRPr="009E2077">
        <w:t xml:space="preserve">Amended by the Act CLXVI of 2016, sec. 13; see: </w:t>
      </w:r>
      <w:hyperlink r:id="rId48" w:history="1">
        <w:r w:rsidRPr="009E2077">
          <w:rPr>
            <w:rStyle w:val="Hyperlink"/>
          </w:rPr>
          <w:t>http://njt.hu/cgi_bin/njt_doc.cgi?docid=199327.334605</w:t>
        </w:r>
      </w:hyperlink>
      <w:r w:rsidRPr="009E2077">
        <w:t>; in Hungarian</w:t>
      </w:r>
      <w:r w:rsidR="00073F21">
        <w:t>.</w:t>
      </w:r>
    </w:p>
  </w:footnote>
  <w:footnote w:id="88">
    <w:p w:rsidR="00476DE8" w:rsidRPr="009E2077" w:rsidRDefault="00476DE8" w:rsidP="008755BA">
      <w:pPr>
        <w:pStyle w:val="RM"/>
      </w:pPr>
      <w:r w:rsidRPr="009E2077">
        <w:rPr>
          <w:rStyle w:val="FootnoteReference"/>
        </w:rPr>
        <w:footnoteRef/>
      </w:r>
      <w:r w:rsidR="00073F21">
        <w:t xml:space="preserve"> </w:t>
      </w:r>
      <w:r w:rsidR="00073F21">
        <w:tab/>
      </w:r>
      <w:r w:rsidRPr="009E2077">
        <w:t>See in detail: Fazekas, K. – Scharle, Á., Pensions, aids, public works: Hungarian employment policy’s two decades from 1990 to 2010, OFA, 2012, 14</w:t>
      </w:r>
      <w:r w:rsidR="00073F21">
        <w:t>.</w:t>
      </w:r>
    </w:p>
  </w:footnote>
  <w:footnote w:id="89">
    <w:p w:rsidR="00476DE8" w:rsidRPr="009E2077" w:rsidRDefault="00476DE8" w:rsidP="008755BA">
      <w:pPr>
        <w:pStyle w:val="RM"/>
      </w:pPr>
      <w:r w:rsidRPr="009E2077">
        <w:rPr>
          <w:rStyle w:val="FootnoteReference"/>
        </w:rPr>
        <w:footnoteRef/>
      </w:r>
      <w:r w:rsidR="00073F21">
        <w:t xml:space="preserve"> </w:t>
      </w:r>
      <w:r w:rsidR="00073F21">
        <w:tab/>
      </w:r>
      <w:r w:rsidRPr="009E2077">
        <w:t>APLWA Act, sec. 131(1), SASB Act, 47(1), 50(1)</w:t>
      </w:r>
      <w:r w:rsidR="00073F21">
        <w:t>.</w:t>
      </w:r>
    </w:p>
  </w:footnote>
  <w:footnote w:id="90">
    <w:p w:rsidR="00476DE8" w:rsidRPr="009E2077" w:rsidRDefault="00476DE8" w:rsidP="008755BA">
      <w:pPr>
        <w:pStyle w:val="RM"/>
      </w:pPr>
      <w:r w:rsidRPr="009E2077">
        <w:rPr>
          <w:rStyle w:val="FootnoteReference"/>
        </w:rPr>
        <w:footnoteRef/>
      </w:r>
      <w:r w:rsidRPr="009E2077">
        <w:t xml:space="preserve"> </w:t>
      </w:r>
      <w:r w:rsidR="00073F21">
        <w:tab/>
      </w:r>
      <w:r w:rsidRPr="009E2077">
        <w:t>The correct denomination of the benefit was: “allowance for persons of active age”, the two type of which had been the regular social benefit (designed for those ones, who were unable to work out of health or family reasons) and employment substituting allowance (“foglalkoztatásthelyettesítőtámogatás”, designed for other ones besides the first category). Since 1</w:t>
      </w:r>
      <w:r w:rsidRPr="009E2077">
        <w:rPr>
          <w:vertAlign w:val="superscript"/>
        </w:rPr>
        <w:t>st</w:t>
      </w:r>
      <w:r w:rsidRPr="009E2077">
        <w:t xml:space="preserve"> March 2015 the denomination of regular social benefit had been changed for “health impairment and child care allowance”. See: SASB Act, sec. 33-39.</w:t>
      </w:r>
    </w:p>
  </w:footnote>
  <w:footnote w:id="91">
    <w:p w:rsidR="00476DE8" w:rsidRPr="009E2077" w:rsidRDefault="00476DE8" w:rsidP="008755BA">
      <w:pPr>
        <w:pStyle w:val="RM"/>
      </w:pPr>
      <w:r w:rsidRPr="009E2077">
        <w:rPr>
          <w:rStyle w:val="FootnoteReference"/>
        </w:rPr>
        <w:footnoteRef/>
      </w:r>
      <w:r w:rsidRPr="009E2077">
        <w:t xml:space="preserve"> </w:t>
      </w:r>
      <w:r w:rsidR="00073F21">
        <w:tab/>
      </w:r>
      <w:r w:rsidRPr="009E2077">
        <w:t xml:space="preserve">European Commission, </w:t>
      </w:r>
      <w:r w:rsidRPr="009E2077">
        <w:rPr>
          <w:i/>
        </w:rPr>
        <w:t>Country Report Hungary 2015 – Including an In-Depth Review on the prevention and correction of macroeconomic imbalances</w:t>
      </w:r>
      <w:r w:rsidRPr="009E2077">
        <w:t>, Commission Staff Working Document, SWD(2015) 35 final/2, Brussels, 18.3.2015 [hereinafter: Country Report 2015], 37</w:t>
      </w:r>
      <w:r w:rsidR="00073F21">
        <w:t>.</w:t>
      </w:r>
    </w:p>
  </w:footnote>
  <w:footnote w:id="92">
    <w:p w:rsidR="00476DE8" w:rsidRPr="009E2077" w:rsidRDefault="00476DE8" w:rsidP="008755BA">
      <w:pPr>
        <w:pStyle w:val="RM"/>
      </w:pPr>
      <w:r w:rsidRPr="009E2077">
        <w:rPr>
          <w:rStyle w:val="FootnoteReference"/>
        </w:rPr>
        <w:footnoteRef/>
      </w:r>
      <w:r w:rsidRPr="009E2077">
        <w:t xml:space="preserve"> </w:t>
      </w:r>
      <w:r w:rsidR="00073F21">
        <w:tab/>
      </w:r>
      <w:r w:rsidRPr="009E2077">
        <w:t>Ibid, 36</w:t>
      </w:r>
      <w:r w:rsidR="00073F21">
        <w:t>.</w:t>
      </w:r>
    </w:p>
  </w:footnote>
  <w:footnote w:id="93">
    <w:p w:rsidR="00476DE8" w:rsidRPr="009E2077" w:rsidRDefault="00476DE8" w:rsidP="008755BA">
      <w:pPr>
        <w:pStyle w:val="RM"/>
      </w:pPr>
      <w:r w:rsidRPr="009E2077">
        <w:rPr>
          <w:rStyle w:val="FootnoteReference"/>
        </w:rPr>
        <w:footnoteRef/>
      </w:r>
      <w:r w:rsidR="00073F21">
        <w:t xml:space="preserve"> </w:t>
      </w:r>
      <w:r w:rsidR="00073F21">
        <w:tab/>
      </w:r>
      <w:r w:rsidRPr="009E2077">
        <w:t>SEBU Act, sec. 58(5)(d)(5), 54(9)(10b)</w:t>
      </w:r>
      <w:r w:rsidR="00073F21">
        <w:t>.</w:t>
      </w:r>
    </w:p>
  </w:footnote>
  <w:footnote w:id="94">
    <w:p w:rsidR="00476DE8" w:rsidRPr="009E2077" w:rsidRDefault="00476DE8" w:rsidP="008755BA">
      <w:pPr>
        <w:pStyle w:val="RM"/>
      </w:pPr>
      <w:r w:rsidRPr="009E2077">
        <w:rPr>
          <w:rStyle w:val="FootnoteReference"/>
        </w:rPr>
        <w:footnoteRef/>
      </w:r>
      <w:r w:rsidR="00073F21">
        <w:t xml:space="preserve"> </w:t>
      </w:r>
      <w:r w:rsidR="00073F21">
        <w:tab/>
      </w:r>
      <w:r w:rsidRPr="009E2077">
        <w:t>APLWA Act, sec. 7(4)</w:t>
      </w:r>
      <w:r w:rsidR="00073F21">
        <w:t>.</w:t>
      </w:r>
    </w:p>
  </w:footnote>
  <w:footnote w:id="95">
    <w:p w:rsidR="00476DE8" w:rsidRPr="009E2077" w:rsidRDefault="00476DE8" w:rsidP="008755BA">
      <w:pPr>
        <w:pStyle w:val="RM"/>
      </w:pPr>
      <w:r w:rsidRPr="009E2077">
        <w:rPr>
          <w:rStyle w:val="FootnoteReference"/>
        </w:rPr>
        <w:footnoteRef/>
      </w:r>
      <w:r w:rsidR="00073F21">
        <w:t xml:space="preserve"> </w:t>
      </w:r>
      <w:r w:rsidR="00073F21">
        <w:tab/>
      </w:r>
      <w:r w:rsidRPr="009E2077">
        <w:t>APLWA Act sec. 7(4) was amended by the section 29 of the Act XXVI of 2016.</w:t>
      </w:r>
    </w:p>
  </w:footnote>
  <w:footnote w:id="96">
    <w:p w:rsidR="00476DE8" w:rsidRPr="009E2077" w:rsidRDefault="00476DE8" w:rsidP="008755BA">
      <w:pPr>
        <w:pStyle w:val="RM"/>
      </w:pPr>
      <w:r w:rsidRPr="009E2077">
        <w:rPr>
          <w:rStyle w:val="FootnoteReference"/>
        </w:rPr>
        <w:footnoteRef/>
      </w:r>
      <w:r w:rsidRPr="009E2077">
        <w:t xml:space="preserve"> </w:t>
      </w:r>
      <w:r w:rsidR="00073F21">
        <w:tab/>
      </w:r>
      <w:r w:rsidRPr="009E2077">
        <w:t>PWS Act, sec. 2(3a)(3c)</w:t>
      </w:r>
      <w:r w:rsidR="00073F21">
        <w:t>.</w:t>
      </w:r>
    </w:p>
  </w:footnote>
  <w:footnote w:id="97">
    <w:p w:rsidR="00476DE8" w:rsidRPr="009E2077" w:rsidRDefault="00476DE8" w:rsidP="008755BA">
      <w:pPr>
        <w:pStyle w:val="RM"/>
      </w:pPr>
      <w:r w:rsidRPr="009E2077">
        <w:rPr>
          <w:rStyle w:val="FootnoteReference"/>
        </w:rPr>
        <w:footnoteRef/>
      </w:r>
      <w:r w:rsidR="00073F21">
        <w:t xml:space="preserve"> </w:t>
      </w:r>
      <w:r w:rsidR="00073F21">
        <w:tab/>
      </w:r>
      <w:r w:rsidRPr="009E2077">
        <w:t>SEBU Act, sec. 28(3), 29(1)(d)</w:t>
      </w:r>
      <w:r w:rsidR="00073F21">
        <w:t>.</w:t>
      </w:r>
    </w:p>
  </w:footnote>
  <w:footnote w:id="98">
    <w:p w:rsidR="00476DE8" w:rsidRPr="009E2077" w:rsidRDefault="00476DE8" w:rsidP="008755BA">
      <w:pPr>
        <w:pStyle w:val="RM"/>
      </w:pPr>
      <w:r w:rsidRPr="009E2077">
        <w:rPr>
          <w:rStyle w:val="FootnoteReference"/>
        </w:rPr>
        <w:footnoteRef/>
      </w:r>
      <w:r w:rsidR="00073F21">
        <w:t xml:space="preserve"> </w:t>
      </w:r>
      <w:r w:rsidR="00073F21">
        <w:tab/>
      </w:r>
      <w:r w:rsidRPr="009E2077">
        <w:t>SASB Act, sec. 34(2)(c), 36(1)</w:t>
      </w:r>
      <w:r w:rsidR="00073F21">
        <w:t>.</w:t>
      </w:r>
    </w:p>
  </w:footnote>
  <w:footnote w:id="99">
    <w:p w:rsidR="00476DE8" w:rsidRPr="009E2077" w:rsidRDefault="00476DE8" w:rsidP="008755BA">
      <w:pPr>
        <w:pStyle w:val="RM"/>
      </w:pPr>
      <w:r w:rsidRPr="009E2077">
        <w:rPr>
          <w:rStyle w:val="FootnoteReference"/>
        </w:rPr>
        <w:footnoteRef/>
      </w:r>
      <w:r w:rsidR="00073F21">
        <w:t xml:space="preserve"> </w:t>
      </w:r>
      <w:r w:rsidR="00073F21">
        <w:tab/>
      </w:r>
      <w:r w:rsidRPr="009E2077">
        <w:t xml:space="preserve">Rules in detail: Gov. Decree No. 328/2015. (XI.10.) (see: </w:t>
      </w:r>
      <w:hyperlink r:id="rId49" w:history="1">
        <w:r w:rsidRPr="009E2077">
          <w:rPr>
            <w:rStyle w:val="Hyperlink"/>
          </w:rPr>
          <w:t>http://njt.hu/cgi_bin/njt_doc.cgi?docid=192083.328943</w:t>
        </w:r>
      </w:hyperlink>
      <w:r w:rsidRPr="009E2077">
        <w:t>; in Hungarian) , SEBU Act, sec. 40(4)</w:t>
      </w:r>
      <w:r w:rsidR="00073F21">
        <w:t>.</w:t>
      </w:r>
    </w:p>
  </w:footnote>
  <w:footnote w:id="100">
    <w:p w:rsidR="00476DE8" w:rsidRPr="009E2077" w:rsidRDefault="00476DE8" w:rsidP="008755BA">
      <w:pPr>
        <w:pStyle w:val="RM"/>
      </w:pPr>
      <w:r w:rsidRPr="009E2077">
        <w:rPr>
          <w:rStyle w:val="FootnoteReference"/>
        </w:rPr>
        <w:footnoteRef/>
      </w:r>
      <w:r w:rsidRPr="009E2077">
        <w:t xml:space="preserve"> </w:t>
      </w:r>
      <w:r w:rsidR="00082E2C">
        <w:tab/>
      </w:r>
      <w:r w:rsidRPr="009E2077">
        <w:t>Gov. Decree 327/2012. (XI. 16.), sec.(42)</w:t>
      </w:r>
      <w:r w:rsidR="00073F21">
        <w:t>.</w:t>
      </w:r>
    </w:p>
  </w:footnote>
  <w:footnote w:id="101">
    <w:p w:rsidR="00476DE8" w:rsidRPr="009E2077" w:rsidRDefault="00476DE8" w:rsidP="008755BA">
      <w:pPr>
        <w:pStyle w:val="RM"/>
      </w:pPr>
      <w:r w:rsidRPr="009E2077">
        <w:rPr>
          <w:rStyle w:val="FootnoteReference"/>
        </w:rPr>
        <w:footnoteRef/>
      </w:r>
      <w:r w:rsidRPr="009E2077">
        <w:t xml:space="preserve"> </w:t>
      </w:r>
      <w:r w:rsidR="00073F21">
        <w:tab/>
      </w:r>
      <w:r w:rsidRPr="009E2077">
        <w:t xml:space="preserve">See: </w:t>
      </w:r>
      <w:hyperlink r:id="rId50" w:history="1">
        <w:r w:rsidRPr="009E2077">
          <w:rPr>
            <w:rStyle w:val="Hyperlink"/>
          </w:rPr>
          <w:t>http://njt.hu/cgi_bin/njt_doc.cgi?docid=30337.329291</w:t>
        </w:r>
      </w:hyperlink>
      <w:r w:rsidRPr="009E2077">
        <w:t>; in Hungarian</w:t>
      </w:r>
      <w:r w:rsidR="00073F21">
        <w:t>.</w:t>
      </w:r>
      <w:r w:rsidRPr="009E2077">
        <w:t xml:space="preserve"> </w:t>
      </w:r>
    </w:p>
  </w:footnote>
  <w:footnote w:id="102">
    <w:p w:rsidR="00476DE8" w:rsidRPr="009E2077" w:rsidRDefault="00476DE8" w:rsidP="008755BA">
      <w:pPr>
        <w:pStyle w:val="RM"/>
      </w:pPr>
      <w:r w:rsidRPr="009E2077">
        <w:rPr>
          <w:rStyle w:val="FootnoteReference"/>
        </w:rPr>
        <w:footnoteRef/>
      </w:r>
      <w:r w:rsidR="00073F21">
        <w:t xml:space="preserve"> </w:t>
      </w:r>
      <w:r w:rsidR="00073F21">
        <w:tab/>
      </w:r>
      <w:r w:rsidRPr="009E2077">
        <w:t>FPBE Act, sec. 2(1)</w:t>
      </w:r>
      <w:r w:rsidR="00073F21">
        <w:t>.</w:t>
      </w:r>
    </w:p>
  </w:footnote>
  <w:footnote w:id="103">
    <w:p w:rsidR="00476DE8" w:rsidRPr="009E2077" w:rsidRDefault="00476DE8" w:rsidP="008755BA">
      <w:pPr>
        <w:pStyle w:val="RM"/>
      </w:pPr>
      <w:r w:rsidRPr="009E2077">
        <w:rPr>
          <w:rStyle w:val="FootnoteReference"/>
        </w:rPr>
        <w:footnoteRef/>
      </w:r>
      <w:r w:rsidRPr="009E2077">
        <w:t xml:space="preserve"> </w:t>
      </w:r>
      <w:r w:rsidR="00073F21">
        <w:tab/>
      </w:r>
      <w:r w:rsidRPr="009E2077">
        <w:t>FPBE Act, sec. 1(1)(d)(e)</w:t>
      </w:r>
      <w:r w:rsidR="00073F21">
        <w:t>.</w:t>
      </w:r>
    </w:p>
  </w:footnote>
  <w:footnote w:id="104">
    <w:p w:rsidR="00476DE8" w:rsidRPr="009E2077" w:rsidRDefault="00476DE8" w:rsidP="008755BA">
      <w:pPr>
        <w:pStyle w:val="RM"/>
      </w:pPr>
      <w:r w:rsidRPr="009E2077">
        <w:rPr>
          <w:rStyle w:val="FootnoteReference"/>
        </w:rPr>
        <w:footnoteRef/>
      </w:r>
      <w:r w:rsidR="00073F21">
        <w:t xml:space="preserve"> </w:t>
      </w:r>
      <w:r w:rsidR="00073F21">
        <w:tab/>
      </w:r>
      <w:r w:rsidRPr="009E2077">
        <w:t>FPBE Act, sec. 31(1)(e), 31(4)(c)</w:t>
      </w:r>
      <w:r w:rsidR="00073F21">
        <w:t>.</w:t>
      </w:r>
    </w:p>
  </w:footnote>
  <w:footnote w:id="105">
    <w:p w:rsidR="00476DE8" w:rsidRPr="009E2077" w:rsidRDefault="00476DE8" w:rsidP="008755BA">
      <w:pPr>
        <w:pStyle w:val="RM"/>
      </w:pPr>
      <w:r w:rsidRPr="009E2077">
        <w:rPr>
          <w:rStyle w:val="FootnoteReference"/>
        </w:rPr>
        <w:footnoteRef/>
      </w:r>
      <w:r w:rsidR="00073F21">
        <w:t xml:space="preserve"> </w:t>
      </w:r>
      <w:r w:rsidR="00073F21">
        <w:tab/>
      </w:r>
      <w:r w:rsidRPr="009E2077">
        <w:t xml:space="preserve">SASB Act, sec. 4(1)(f); SZCSM Decree No. 1/2000. (I.7.), sec. 2(f), 4(1)(b) (see: </w:t>
      </w:r>
      <w:hyperlink r:id="rId51" w:history="1">
        <w:r w:rsidRPr="009E2077">
          <w:rPr>
            <w:rStyle w:val="Hyperlink"/>
          </w:rPr>
          <w:t>http://njt.hu/cgi_bin/njt_doc.cgi?docid=47767.335410</w:t>
        </w:r>
      </w:hyperlink>
      <w:r w:rsidRPr="009E2077">
        <w:t>; in Hungary)</w:t>
      </w:r>
      <w:r w:rsidR="00073F21">
        <w:t>.</w:t>
      </w:r>
    </w:p>
  </w:footnote>
  <w:footnote w:id="106">
    <w:p w:rsidR="00476DE8" w:rsidRPr="00073F21" w:rsidRDefault="00476DE8" w:rsidP="008755BA">
      <w:pPr>
        <w:pStyle w:val="RM"/>
      </w:pPr>
      <w:r w:rsidRPr="009E2077">
        <w:rPr>
          <w:rStyle w:val="FootnoteReference"/>
        </w:rPr>
        <w:footnoteRef/>
      </w:r>
      <w:r w:rsidR="00073F21">
        <w:t xml:space="preserve"> </w:t>
      </w:r>
      <w:r w:rsidR="00073F21">
        <w:tab/>
      </w:r>
      <w:r w:rsidRPr="009E2077">
        <w:t xml:space="preserve">Submission of the Hand in Hand Foundation to the Draft General Comment on the Article 9 of the CRPD; available: </w:t>
      </w:r>
      <w:hyperlink r:id="rId52" w:history="1">
        <w:r w:rsidRPr="009E2077">
          <w:rPr>
            <w:rStyle w:val="Hyperlink"/>
          </w:rPr>
          <w:t>http://www.ohchr.org/EN/HRBodies/CRPD/Pages/DGCArticles12And9.aspx</w:t>
        </w:r>
      </w:hyperlink>
      <w:r w:rsidR="00073F21">
        <w:rPr>
          <w:rStyle w:val="Hyperlink"/>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C1D"/>
    <w:multiLevelType w:val="hybridMultilevel"/>
    <w:tmpl w:val="3E6635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FD23CD"/>
    <w:multiLevelType w:val="hybridMultilevel"/>
    <w:tmpl w:val="2C6A4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125E87"/>
    <w:multiLevelType w:val="hybridMultilevel"/>
    <w:tmpl w:val="4D24E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074FDC"/>
    <w:multiLevelType w:val="hybridMultilevel"/>
    <w:tmpl w:val="66E4990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95229A"/>
    <w:multiLevelType w:val="hybridMultilevel"/>
    <w:tmpl w:val="77EAB4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566F37"/>
    <w:multiLevelType w:val="hybridMultilevel"/>
    <w:tmpl w:val="BC9E6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DA7E54"/>
    <w:multiLevelType w:val="hybridMultilevel"/>
    <w:tmpl w:val="647421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D03903"/>
    <w:multiLevelType w:val="hybridMultilevel"/>
    <w:tmpl w:val="AF6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8" w15:restartNumberingAfterBreak="0">
    <w:nsid w:val="14233940"/>
    <w:multiLevelType w:val="hybridMultilevel"/>
    <w:tmpl w:val="017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64793"/>
    <w:multiLevelType w:val="hybridMultilevel"/>
    <w:tmpl w:val="3D4855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DD20EA"/>
    <w:multiLevelType w:val="hybridMultilevel"/>
    <w:tmpl w:val="B75E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E0123"/>
    <w:multiLevelType w:val="hybridMultilevel"/>
    <w:tmpl w:val="86AE2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7EE0877"/>
    <w:multiLevelType w:val="hybridMultilevel"/>
    <w:tmpl w:val="01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25FB5"/>
    <w:multiLevelType w:val="hybridMultilevel"/>
    <w:tmpl w:val="F4E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72C47"/>
    <w:multiLevelType w:val="multilevel"/>
    <w:tmpl w:val="BEAC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67D66"/>
    <w:multiLevelType w:val="hybridMultilevel"/>
    <w:tmpl w:val="165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B10C2"/>
    <w:multiLevelType w:val="hybridMultilevel"/>
    <w:tmpl w:val="EF0075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151305"/>
    <w:multiLevelType w:val="hybridMultilevel"/>
    <w:tmpl w:val="CEBA419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18" w15:restartNumberingAfterBreak="0">
    <w:nsid w:val="44B33E78"/>
    <w:multiLevelType w:val="hybridMultilevel"/>
    <w:tmpl w:val="939C57B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45883ABC"/>
    <w:multiLevelType w:val="hybridMultilevel"/>
    <w:tmpl w:val="FD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460AD"/>
    <w:multiLevelType w:val="hybridMultilevel"/>
    <w:tmpl w:val="2676C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B3F02A4"/>
    <w:multiLevelType w:val="hybridMultilevel"/>
    <w:tmpl w:val="09C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B5EBF"/>
    <w:multiLevelType w:val="hybridMultilevel"/>
    <w:tmpl w:val="2262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353BE"/>
    <w:multiLevelType w:val="hybridMultilevel"/>
    <w:tmpl w:val="F1DAE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E76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9F17FBD"/>
    <w:multiLevelType w:val="hybridMultilevel"/>
    <w:tmpl w:val="3BB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D73FB9"/>
    <w:multiLevelType w:val="hybridMultilevel"/>
    <w:tmpl w:val="A6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045DC"/>
    <w:multiLevelType w:val="hybridMultilevel"/>
    <w:tmpl w:val="602E5F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5B09B3"/>
    <w:multiLevelType w:val="hybridMultilevel"/>
    <w:tmpl w:val="9EA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33226"/>
    <w:multiLevelType w:val="hybridMultilevel"/>
    <w:tmpl w:val="3446EF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3"/>
  </w:num>
  <w:num w:numId="5">
    <w:abstractNumId w:val="12"/>
  </w:num>
  <w:num w:numId="6">
    <w:abstractNumId w:val="13"/>
  </w:num>
  <w:num w:numId="7">
    <w:abstractNumId w:val="26"/>
  </w:num>
  <w:num w:numId="8">
    <w:abstractNumId w:val="8"/>
  </w:num>
  <w:num w:numId="9">
    <w:abstractNumId w:val="25"/>
  </w:num>
  <w:num w:numId="10">
    <w:abstractNumId w:val="15"/>
  </w:num>
  <w:num w:numId="11">
    <w:abstractNumId w:val="22"/>
  </w:num>
  <w:num w:numId="12">
    <w:abstractNumId w:val="19"/>
  </w:num>
  <w:num w:numId="13">
    <w:abstractNumId w:val="17"/>
  </w:num>
  <w:num w:numId="14">
    <w:abstractNumId w:val="21"/>
  </w:num>
  <w:num w:numId="15">
    <w:abstractNumId w:val="28"/>
  </w:num>
  <w:num w:numId="16">
    <w:abstractNumId w:val="9"/>
  </w:num>
  <w:num w:numId="17">
    <w:abstractNumId w:val="29"/>
  </w:num>
  <w:num w:numId="18">
    <w:abstractNumId w:val="1"/>
  </w:num>
  <w:num w:numId="1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6"/>
  </w:num>
  <w:num w:numId="21">
    <w:abstractNumId w:val="18"/>
  </w:num>
  <w:num w:numId="22">
    <w:abstractNumId w:val="11"/>
  </w:num>
  <w:num w:numId="23">
    <w:abstractNumId w:val="16"/>
  </w:num>
  <w:num w:numId="24">
    <w:abstractNumId w:val="3"/>
  </w:num>
  <w:num w:numId="25">
    <w:abstractNumId w:val="0"/>
  </w:num>
  <w:num w:numId="26">
    <w:abstractNumId w:val="20"/>
  </w:num>
  <w:num w:numId="27">
    <w:abstractNumId w:val="27"/>
  </w:num>
  <w:num w:numId="28">
    <w:abstractNumId w:val="2"/>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3C"/>
    <w:rsid w:val="000015C3"/>
    <w:rsid w:val="00003687"/>
    <w:rsid w:val="000065C7"/>
    <w:rsid w:val="00020C3C"/>
    <w:rsid w:val="000230E2"/>
    <w:rsid w:val="00024267"/>
    <w:rsid w:val="0002518A"/>
    <w:rsid w:val="000252E9"/>
    <w:rsid w:val="00031DD5"/>
    <w:rsid w:val="000344BC"/>
    <w:rsid w:val="0003529D"/>
    <w:rsid w:val="00036171"/>
    <w:rsid w:val="00037F56"/>
    <w:rsid w:val="00042A9B"/>
    <w:rsid w:val="00044FEF"/>
    <w:rsid w:val="0004601A"/>
    <w:rsid w:val="00046F7E"/>
    <w:rsid w:val="00051656"/>
    <w:rsid w:val="00052CDD"/>
    <w:rsid w:val="00052E91"/>
    <w:rsid w:val="00064686"/>
    <w:rsid w:val="00066452"/>
    <w:rsid w:val="000668E6"/>
    <w:rsid w:val="00066A6B"/>
    <w:rsid w:val="00066FF4"/>
    <w:rsid w:val="00067021"/>
    <w:rsid w:val="000672C3"/>
    <w:rsid w:val="00071FE8"/>
    <w:rsid w:val="00073F21"/>
    <w:rsid w:val="000742C5"/>
    <w:rsid w:val="00074CF7"/>
    <w:rsid w:val="00074ED9"/>
    <w:rsid w:val="00077225"/>
    <w:rsid w:val="00077A2A"/>
    <w:rsid w:val="0008049F"/>
    <w:rsid w:val="000820D8"/>
    <w:rsid w:val="00082E2C"/>
    <w:rsid w:val="000872E1"/>
    <w:rsid w:val="0009092C"/>
    <w:rsid w:val="00091052"/>
    <w:rsid w:val="000954CA"/>
    <w:rsid w:val="000961AE"/>
    <w:rsid w:val="000A02FA"/>
    <w:rsid w:val="000A23EB"/>
    <w:rsid w:val="000A43B4"/>
    <w:rsid w:val="000A446C"/>
    <w:rsid w:val="000A48A7"/>
    <w:rsid w:val="000A7794"/>
    <w:rsid w:val="000B0B93"/>
    <w:rsid w:val="000B3A2C"/>
    <w:rsid w:val="000B3AF8"/>
    <w:rsid w:val="000C1605"/>
    <w:rsid w:val="000C32C4"/>
    <w:rsid w:val="000C4164"/>
    <w:rsid w:val="000C482D"/>
    <w:rsid w:val="000C6081"/>
    <w:rsid w:val="000C60DD"/>
    <w:rsid w:val="000C7EA7"/>
    <w:rsid w:val="000D6685"/>
    <w:rsid w:val="000E1395"/>
    <w:rsid w:val="000E2706"/>
    <w:rsid w:val="000F0CDA"/>
    <w:rsid w:val="000F12AF"/>
    <w:rsid w:val="000F13E9"/>
    <w:rsid w:val="000F1FBB"/>
    <w:rsid w:val="000F741F"/>
    <w:rsid w:val="001038A3"/>
    <w:rsid w:val="00105727"/>
    <w:rsid w:val="00105B2B"/>
    <w:rsid w:val="00106DA0"/>
    <w:rsid w:val="001078AA"/>
    <w:rsid w:val="001127C0"/>
    <w:rsid w:val="00112D39"/>
    <w:rsid w:val="001164F3"/>
    <w:rsid w:val="00121B04"/>
    <w:rsid w:val="00124A6C"/>
    <w:rsid w:val="00126785"/>
    <w:rsid w:val="00127A51"/>
    <w:rsid w:val="00131BA6"/>
    <w:rsid w:val="00132F9E"/>
    <w:rsid w:val="00135810"/>
    <w:rsid w:val="00135F91"/>
    <w:rsid w:val="00143A30"/>
    <w:rsid w:val="00144FA1"/>
    <w:rsid w:val="00154206"/>
    <w:rsid w:val="001547A7"/>
    <w:rsid w:val="00156247"/>
    <w:rsid w:val="00157A0B"/>
    <w:rsid w:val="001637F0"/>
    <w:rsid w:val="00163C28"/>
    <w:rsid w:val="00170C8C"/>
    <w:rsid w:val="001735BD"/>
    <w:rsid w:val="00173671"/>
    <w:rsid w:val="00182DA2"/>
    <w:rsid w:val="00182E10"/>
    <w:rsid w:val="00184A1E"/>
    <w:rsid w:val="00185ECB"/>
    <w:rsid w:val="00186F0E"/>
    <w:rsid w:val="001933AE"/>
    <w:rsid w:val="001934CA"/>
    <w:rsid w:val="001937A8"/>
    <w:rsid w:val="00193840"/>
    <w:rsid w:val="00193F45"/>
    <w:rsid w:val="00194181"/>
    <w:rsid w:val="0019478E"/>
    <w:rsid w:val="00194867"/>
    <w:rsid w:val="001950B4"/>
    <w:rsid w:val="0019539B"/>
    <w:rsid w:val="00196DBA"/>
    <w:rsid w:val="001A14A8"/>
    <w:rsid w:val="001A2E80"/>
    <w:rsid w:val="001A3FA5"/>
    <w:rsid w:val="001A5DB2"/>
    <w:rsid w:val="001A6495"/>
    <w:rsid w:val="001A7323"/>
    <w:rsid w:val="001B379F"/>
    <w:rsid w:val="001C020B"/>
    <w:rsid w:val="001C3673"/>
    <w:rsid w:val="001C724A"/>
    <w:rsid w:val="001D06F9"/>
    <w:rsid w:val="001D1F6C"/>
    <w:rsid w:val="001D2470"/>
    <w:rsid w:val="001E03D3"/>
    <w:rsid w:val="001E14AC"/>
    <w:rsid w:val="001E70A8"/>
    <w:rsid w:val="001F10BF"/>
    <w:rsid w:val="001F2A04"/>
    <w:rsid w:val="001F33E2"/>
    <w:rsid w:val="001F65FE"/>
    <w:rsid w:val="00201E87"/>
    <w:rsid w:val="0020301E"/>
    <w:rsid w:val="002033EE"/>
    <w:rsid w:val="002102EA"/>
    <w:rsid w:val="0021107B"/>
    <w:rsid w:val="002122AE"/>
    <w:rsid w:val="00213A08"/>
    <w:rsid w:val="002161FF"/>
    <w:rsid w:val="00224252"/>
    <w:rsid w:val="0022699A"/>
    <w:rsid w:val="002300D2"/>
    <w:rsid w:val="0023145F"/>
    <w:rsid w:val="0023168B"/>
    <w:rsid w:val="00234E3A"/>
    <w:rsid w:val="00235CDD"/>
    <w:rsid w:val="002372C9"/>
    <w:rsid w:val="00240141"/>
    <w:rsid w:val="002406AF"/>
    <w:rsid w:val="00251918"/>
    <w:rsid w:val="00252049"/>
    <w:rsid w:val="00253337"/>
    <w:rsid w:val="00255295"/>
    <w:rsid w:val="002622A2"/>
    <w:rsid w:val="002628F1"/>
    <w:rsid w:val="00262F64"/>
    <w:rsid w:val="002639F7"/>
    <w:rsid w:val="00266414"/>
    <w:rsid w:val="00267C29"/>
    <w:rsid w:val="0027017E"/>
    <w:rsid w:val="00270AA1"/>
    <w:rsid w:val="00271467"/>
    <w:rsid w:val="00272CA3"/>
    <w:rsid w:val="00275CA9"/>
    <w:rsid w:val="0027628E"/>
    <w:rsid w:val="00276431"/>
    <w:rsid w:val="002811E7"/>
    <w:rsid w:val="002812BD"/>
    <w:rsid w:val="002812ED"/>
    <w:rsid w:val="002816C0"/>
    <w:rsid w:val="0028193B"/>
    <w:rsid w:val="00282310"/>
    <w:rsid w:val="002842B5"/>
    <w:rsid w:val="00285FA7"/>
    <w:rsid w:val="00286658"/>
    <w:rsid w:val="002867A0"/>
    <w:rsid w:val="002878F4"/>
    <w:rsid w:val="0029165F"/>
    <w:rsid w:val="0029232C"/>
    <w:rsid w:val="00294536"/>
    <w:rsid w:val="002951C3"/>
    <w:rsid w:val="00296F5E"/>
    <w:rsid w:val="00297521"/>
    <w:rsid w:val="0029754A"/>
    <w:rsid w:val="002A38F0"/>
    <w:rsid w:val="002A39D5"/>
    <w:rsid w:val="002A58B6"/>
    <w:rsid w:val="002B306C"/>
    <w:rsid w:val="002B43F1"/>
    <w:rsid w:val="002B67CF"/>
    <w:rsid w:val="002C0BA9"/>
    <w:rsid w:val="002C2316"/>
    <w:rsid w:val="002C3369"/>
    <w:rsid w:val="002C33B2"/>
    <w:rsid w:val="002D116E"/>
    <w:rsid w:val="002D410D"/>
    <w:rsid w:val="002D56EB"/>
    <w:rsid w:val="002D7D76"/>
    <w:rsid w:val="002E7554"/>
    <w:rsid w:val="002E758A"/>
    <w:rsid w:val="002F22D5"/>
    <w:rsid w:val="002F29DA"/>
    <w:rsid w:val="002F4F3D"/>
    <w:rsid w:val="002F50E9"/>
    <w:rsid w:val="002F7A7E"/>
    <w:rsid w:val="003023A2"/>
    <w:rsid w:val="00304F41"/>
    <w:rsid w:val="0030719D"/>
    <w:rsid w:val="003071F2"/>
    <w:rsid w:val="00311084"/>
    <w:rsid w:val="00313845"/>
    <w:rsid w:val="00316658"/>
    <w:rsid w:val="00317102"/>
    <w:rsid w:val="003177B2"/>
    <w:rsid w:val="00320E21"/>
    <w:rsid w:val="003263A3"/>
    <w:rsid w:val="00330919"/>
    <w:rsid w:val="003315D4"/>
    <w:rsid w:val="00340458"/>
    <w:rsid w:val="00340C25"/>
    <w:rsid w:val="00343323"/>
    <w:rsid w:val="00345B49"/>
    <w:rsid w:val="00347174"/>
    <w:rsid w:val="00350307"/>
    <w:rsid w:val="003538CE"/>
    <w:rsid w:val="00353F64"/>
    <w:rsid w:val="00355476"/>
    <w:rsid w:val="00360470"/>
    <w:rsid w:val="00370D21"/>
    <w:rsid w:val="00374E19"/>
    <w:rsid w:val="0038044B"/>
    <w:rsid w:val="003816D9"/>
    <w:rsid w:val="00385F19"/>
    <w:rsid w:val="003901EF"/>
    <w:rsid w:val="00391481"/>
    <w:rsid w:val="003947D5"/>
    <w:rsid w:val="003960A9"/>
    <w:rsid w:val="00397BAB"/>
    <w:rsid w:val="003A5DE9"/>
    <w:rsid w:val="003A6080"/>
    <w:rsid w:val="003B0033"/>
    <w:rsid w:val="003B0DA4"/>
    <w:rsid w:val="003C05E3"/>
    <w:rsid w:val="003C1105"/>
    <w:rsid w:val="003C21E8"/>
    <w:rsid w:val="003C2729"/>
    <w:rsid w:val="003D107A"/>
    <w:rsid w:val="003D1328"/>
    <w:rsid w:val="003D3531"/>
    <w:rsid w:val="003D4319"/>
    <w:rsid w:val="003D4524"/>
    <w:rsid w:val="003D4629"/>
    <w:rsid w:val="003D579A"/>
    <w:rsid w:val="003D6BEC"/>
    <w:rsid w:val="003E0297"/>
    <w:rsid w:val="003E5493"/>
    <w:rsid w:val="003E7243"/>
    <w:rsid w:val="003E729C"/>
    <w:rsid w:val="003F2728"/>
    <w:rsid w:val="003F27D4"/>
    <w:rsid w:val="003F60FD"/>
    <w:rsid w:val="003F6BC8"/>
    <w:rsid w:val="0041014B"/>
    <w:rsid w:val="0041329F"/>
    <w:rsid w:val="00417F52"/>
    <w:rsid w:val="00424187"/>
    <w:rsid w:val="00430DDB"/>
    <w:rsid w:val="00432585"/>
    <w:rsid w:val="004338E1"/>
    <w:rsid w:val="004363DC"/>
    <w:rsid w:val="004404C8"/>
    <w:rsid w:val="00440CBA"/>
    <w:rsid w:val="00442DE4"/>
    <w:rsid w:val="00446004"/>
    <w:rsid w:val="004514AB"/>
    <w:rsid w:val="00460C84"/>
    <w:rsid w:val="004621C1"/>
    <w:rsid w:val="00463895"/>
    <w:rsid w:val="0046598A"/>
    <w:rsid w:val="00467D69"/>
    <w:rsid w:val="00470F84"/>
    <w:rsid w:val="004769A5"/>
    <w:rsid w:val="00476BA9"/>
    <w:rsid w:val="00476DE8"/>
    <w:rsid w:val="00480612"/>
    <w:rsid w:val="0048195C"/>
    <w:rsid w:val="00493238"/>
    <w:rsid w:val="0049577D"/>
    <w:rsid w:val="00496CF2"/>
    <w:rsid w:val="00497E15"/>
    <w:rsid w:val="004A04E7"/>
    <w:rsid w:val="004A1249"/>
    <w:rsid w:val="004A2C30"/>
    <w:rsid w:val="004A3370"/>
    <w:rsid w:val="004A377E"/>
    <w:rsid w:val="004A668F"/>
    <w:rsid w:val="004A702E"/>
    <w:rsid w:val="004B0684"/>
    <w:rsid w:val="004B2A1A"/>
    <w:rsid w:val="004B30AE"/>
    <w:rsid w:val="004C0F45"/>
    <w:rsid w:val="004C208F"/>
    <w:rsid w:val="004C3F37"/>
    <w:rsid w:val="004C4B67"/>
    <w:rsid w:val="004C62C0"/>
    <w:rsid w:val="004D033B"/>
    <w:rsid w:val="004D5A9D"/>
    <w:rsid w:val="004D74B7"/>
    <w:rsid w:val="004D7B6C"/>
    <w:rsid w:val="004E3179"/>
    <w:rsid w:val="004E330E"/>
    <w:rsid w:val="004E353A"/>
    <w:rsid w:val="004E4075"/>
    <w:rsid w:val="004E4331"/>
    <w:rsid w:val="004E4955"/>
    <w:rsid w:val="004E7080"/>
    <w:rsid w:val="004E7761"/>
    <w:rsid w:val="004F2A03"/>
    <w:rsid w:val="004F3E0D"/>
    <w:rsid w:val="004F572A"/>
    <w:rsid w:val="004F71C2"/>
    <w:rsid w:val="005063C3"/>
    <w:rsid w:val="00511F7F"/>
    <w:rsid w:val="00513BA9"/>
    <w:rsid w:val="00515E0D"/>
    <w:rsid w:val="0053179B"/>
    <w:rsid w:val="0053269C"/>
    <w:rsid w:val="0053342E"/>
    <w:rsid w:val="005344EC"/>
    <w:rsid w:val="00534D6D"/>
    <w:rsid w:val="00534EA1"/>
    <w:rsid w:val="005400FC"/>
    <w:rsid w:val="0054060F"/>
    <w:rsid w:val="00541B59"/>
    <w:rsid w:val="005434F6"/>
    <w:rsid w:val="0054484D"/>
    <w:rsid w:val="00545431"/>
    <w:rsid w:val="005546DC"/>
    <w:rsid w:val="00563DD9"/>
    <w:rsid w:val="005660D4"/>
    <w:rsid w:val="00566908"/>
    <w:rsid w:val="005679B4"/>
    <w:rsid w:val="0057245C"/>
    <w:rsid w:val="00573E8C"/>
    <w:rsid w:val="00574608"/>
    <w:rsid w:val="00574A50"/>
    <w:rsid w:val="00574A73"/>
    <w:rsid w:val="00575090"/>
    <w:rsid w:val="005752AF"/>
    <w:rsid w:val="005758AB"/>
    <w:rsid w:val="00576C77"/>
    <w:rsid w:val="0057793E"/>
    <w:rsid w:val="00577B3C"/>
    <w:rsid w:val="0058128B"/>
    <w:rsid w:val="00583D27"/>
    <w:rsid w:val="0058403A"/>
    <w:rsid w:val="00585773"/>
    <w:rsid w:val="005869D2"/>
    <w:rsid w:val="00586E76"/>
    <w:rsid w:val="00591F8F"/>
    <w:rsid w:val="005A091B"/>
    <w:rsid w:val="005A1412"/>
    <w:rsid w:val="005A18BF"/>
    <w:rsid w:val="005A35A1"/>
    <w:rsid w:val="005B557B"/>
    <w:rsid w:val="005B5EB9"/>
    <w:rsid w:val="005B6425"/>
    <w:rsid w:val="005B7794"/>
    <w:rsid w:val="005B7CE2"/>
    <w:rsid w:val="005D0A6A"/>
    <w:rsid w:val="005E397B"/>
    <w:rsid w:val="005E3CED"/>
    <w:rsid w:val="005E3F2B"/>
    <w:rsid w:val="005E4792"/>
    <w:rsid w:val="005E514A"/>
    <w:rsid w:val="005E6CDF"/>
    <w:rsid w:val="005E746F"/>
    <w:rsid w:val="005F629E"/>
    <w:rsid w:val="0060763C"/>
    <w:rsid w:val="006111FC"/>
    <w:rsid w:val="00612B71"/>
    <w:rsid w:val="00613364"/>
    <w:rsid w:val="0061408F"/>
    <w:rsid w:val="00622D34"/>
    <w:rsid w:val="006251EB"/>
    <w:rsid w:val="00625769"/>
    <w:rsid w:val="006265FE"/>
    <w:rsid w:val="00633D3B"/>
    <w:rsid w:val="00637B28"/>
    <w:rsid w:val="00637E15"/>
    <w:rsid w:val="00640335"/>
    <w:rsid w:val="006443AD"/>
    <w:rsid w:val="0064787C"/>
    <w:rsid w:val="0065145C"/>
    <w:rsid w:val="00651680"/>
    <w:rsid w:val="00651AB7"/>
    <w:rsid w:val="00653711"/>
    <w:rsid w:val="00657162"/>
    <w:rsid w:val="006604FE"/>
    <w:rsid w:val="00663148"/>
    <w:rsid w:val="00670083"/>
    <w:rsid w:val="00670A59"/>
    <w:rsid w:val="00677B27"/>
    <w:rsid w:val="00687A60"/>
    <w:rsid w:val="00687D2D"/>
    <w:rsid w:val="006905B2"/>
    <w:rsid w:val="006931B5"/>
    <w:rsid w:val="00693AA0"/>
    <w:rsid w:val="00693D2C"/>
    <w:rsid w:val="00695C3F"/>
    <w:rsid w:val="006A6E4F"/>
    <w:rsid w:val="006A72B0"/>
    <w:rsid w:val="006A7994"/>
    <w:rsid w:val="006B0917"/>
    <w:rsid w:val="006B3158"/>
    <w:rsid w:val="006B5F0F"/>
    <w:rsid w:val="006B68E6"/>
    <w:rsid w:val="006C0A45"/>
    <w:rsid w:val="006C1558"/>
    <w:rsid w:val="006C4887"/>
    <w:rsid w:val="006C4934"/>
    <w:rsid w:val="006C5D37"/>
    <w:rsid w:val="006C6130"/>
    <w:rsid w:val="006D000D"/>
    <w:rsid w:val="006D0A48"/>
    <w:rsid w:val="006D0EF0"/>
    <w:rsid w:val="006D2769"/>
    <w:rsid w:val="006D51AD"/>
    <w:rsid w:val="006D6875"/>
    <w:rsid w:val="006D714B"/>
    <w:rsid w:val="006E1269"/>
    <w:rsid w:val="006E2C60"/>
    <w:rsid w:val="006E48D2"/>
    <w:rsid w:val="006E5BE2"/>
    <w:rsid w:val="006E6913"/>
    <w:rsid w:val="006E6FB9"/>
    <w:rsid w:val="006E7505"/>
    <w:rsid w:val="006E79F4"/>
    <w:rsid w:val="006F3554"/>
    <w:rsid w:val="006F5185"/>
    <w:rsid w:val="006F5221"/>
    <w:rsid w:val="006F6314"/>
    <w:rsid w:val="006F6AC4"/>
    <w:rsid w:val="00700456"/>
    <w:rsid w:val="0070463F"/>
    <w:rsid w:val="00707787"/>
    <w:rsid w:val="00710850"/>
    <w:rsid w:val="00711089"/>
    <w:rsid w:val="00711949"/>
    <w:rsid w:val="00713DB8"/>
    <w:rsid w:val="0071574A"/>
    <w:rsid w:val="00717255"/>
    <w:rsid w:val="00717718"/>
    <w:rsid w:val="007204CE"/>
    <w:rsid w:val="00722F4B"/>
    <w:rsid w:val="0072499D"/>
    <w:rsid w:val="00727A9B"/>
    <w:rsid w:val="00727CF8"/>
    <w:rsid w:val="00730F41"/>
    <w:rsid w:val="00733EB1"/>
    <w:rsid w:val="007378F3"/>
    <w:rsid w:val="00741B23"/>
    <w:rsid w:val="00741C83"/>
    <w:rsid w:val="007432B0"/>
    <w:rsid w:val="0074562F"/>
    <w:rsid w:val="00745BCD"/>
    <w:rsid w:val="00747B9B"/>
    <w:rsid w:val="0075131B"/>
    <w:rsid w:val="0075162E"/>
    <w:rsid w:val="00751664"/>
    <w:rsid w:val="00752EE2"/>
    <w:rsid w:val="00756483"/>
    <w:rsid w:val="00764C19"/>
    <w:rsid w:val="00765072"/>
    <w:rsid w:val="00765713"/>
    <w:rsid w:val="00767D57"/>
    <w:rsid w:val="0077006F"/>
    <w:rsid w:val="00772D19"/>
    <w:rsid w:val="0077461B"/>
    <w:rsid w:val="00774A2D"/>
    <w:rsid w:val="007756A2"/>
    <w:rsid w:val="00780846"/>
    <w:rsid w:val="00782ADA"/>
    <w:rsid w:val="00783954"/>
    <w:rsid w:val="00786A6E"/>
    <w:rsid w:val="00791213"/>
    <w:rsid w:val="00791808"/>
    <w:rsid w:val="007928D2"/>
    <w:rsid w:val="00793125"/>
    <w:rsid w:val="00794D8B"/>
    <w:rsid w:val="007953ED"/>
    <w:rsid w:val="00797F5E"/>
    <w:rsid w:val="007A2844"/>
    <w:rsid w:val="007A2E68"/>
    <w:rsid w:val="007A6832"/>
    <w:rsid w:val="007A6B8B"/>
    <w:rsid w:val="007A6D48"/>
    <w:rsid w:val="007B3331"/>
    <w:rsid w:val="007C0CB6"/>
    <w:rsid w:val="007C1D51"/>
    <w:rsid w:val="007C49F6"/>
    <w:rsid w:val="007C69C8"/>
    <w:rsid w:val="007C6DE9"/>
    <w:rsid w:val="007D52AF"/>
    <w:rsid w:val="007D5659"/>
    <w:rsid w:val="007D69F1"/>
    <w:rsid w:val="007E0E9F"/>
    <w:rsid w:val="007E435C"/>
    <w:rsid w:val="007E573F"/>
    <w:rsid w:val="007E5A48"/>
    <w:rsid w:val="007E638E"/>
    <w:rsid w:val="007F0F0F"/>
    <w:rsid w:val="007F561B"/>
    <w:rsid w:val="007F60C3"/>
    <w:rsid w:val="008006E2"/>
    <w:rsid w:val="00807729"/>
    <w:rsid w:val="008112C6"/>
    <w:rsid w:val="00811931"/>
    <w:rsid w:val="00813F22"/>
    <w:rsid w:val="00814B24"/>
    <w:rsid w:val="0081501A"/>
    <w:rsid w:val="008209D1"/>
    <w:rsid w:val="00821182"/>
    <w:rsid w:val="00821379"/>
    <w:rsid w:val="008217F5"/>
    <w:rsid w:val="0082560F"/>
    <w:rsid w:val="008305FF"/>
    <w:rsid w:val="00832C44"/>
    <w:rsid w:val="00833CA9"/>
    <w:rsid w:val="00837E8C"/>
    <w:rsid w:val="008414DA"/>
    <w:rsid w:val="008470E4"/>
    <w:rsid w:val="00850103"/>
    <w:rsid w:val="0085018B"/>
    <w:rsid w:val="0085281C"/>
    <w:rsid w:val="00853225"/>
    <w:rsid w:val="00855A79"/>
    <w:rsid w:val="00862237"/>
    <w:rsid w:val="00863350"/>
    <w:rsid w:val="00865324"/>
    <w:rsid w:val="00866B53"/>
    <w:rsid w:val="00867889"/>
    <w:rsid w:val="008755BA"/>
    <w:rsid w:val="0088068A"/>
    <w:rsid w:val="00880738"/>
    <w:rsid w:val="00882DAD"/>
    <w:rsid w:val="008834E2"/>
    <w:rsid w:val="00883684"/>
    <w:rsid w:val="0088490F"/>
    <w:rsid w:val="00884BAB"/>
    <w:rsid w:val="0088537D"/>
    <w:rsid w:val="00886EAA"/>
    <w:rsid w:val="00892EA7"/>
    <w:rsid w:val="008938D6"/>
    <w:rsid w:val="008A01BF"/>
    <w:rsid w:val="008A109B"/>
    <w:rsid w:val="008A147A"/>
    <w:rsid w:val="008A214E"/>
    <w:rsid w:val="008A2BDA"/>
    <w:rsid w:val="008A2D1A"/>
    <w:rsid w:val="008A3B96"/>
    <w:rsid w:val="008B140A"/>
    <w:rsid w:val="008B177C"/>
    <w:rsid w:val="008C1866"/>
    <w:rsid w:val="008C4488"/>
    <w:rsid w:val="008C5665"/>
    <w:rsid w:val="008D073C"/>
    <w:rsid w:val="008D0828"/>
    <w:rsid w:val="008D4C59"/>
    <w:rsid w:val="008E6518"/>
    <w:rsid w:val="008E666D"/>
    <w:rsid w:val="008E6720"/>
    <w:rsid w:val="008E72D3"/>
    <w:rsid w:val="008F117C"/>
    <w:rsid w:val="008F1D47"/>
    <w:rsid w:val="008F4354"/>
    <w:rsid w:val="008F587B"/>
    <w:rsid w:val="008F59D0"/>
    <w:rsid w:val="008F6C42"/>
    <w:rsid w:val="00901728"/>
    <w:rsid w:val="00903037"/>
    <w:rsid w:val="00911B89"/>
    <w:rsid w:val="0092584C"/>
    <w:rsid w:val="00926A73"/>
    <w:rsid w:val="009302A8"/>
    <w:rsid w:val="00934B41"/>
    <w:rsid w:val="00935F42"/>
    <w:rsid w:val="0094631A"/>
    <w:rsid w:val="00946783"/>
    <w:rsid w:val="00946CA1"/>
    <w:rsid w:val="00946EC2"/>
    <w:rsid w:val="00950584"/>
    <w:rsid w:val="009507AD"/>
    <w:rsid w:val="0095336D"/>
    <w:rsid w:val="00953DBE"/>
    <w:rsid w:val="00957039"/>
    <w:rsid w:val="00960FCC"/>
    <w:rsid w:val="0096148B"/>
    <w:rsid w:val="009630E0"/>
    <w:rsid w:val="00963805"/>
    <w:rsid w:val="009646EF"/>
    <w:rsid w:val="00965929"/>
    <w:rsid w:val="0096712B"/>
    <w:rsid w:val="0097045D"/>
    <w:rsid w:val="009709FE"/>
    <w:rsid w:val="009718F6"/>
    <w:rsid w:val="00974449"/>
    <w:rsid w:val="00974619"/>
    <w:rsid w:val="0097473A"/>
    <w:rsid w:val="00974A3D"/>
    <w:rsid w:val="009826B3"/>
    <w:rsid w:val="00985055"/>
    <w:rsid w:val="00987D8E"/>
    <w:rsid w:val="0099297A"/>
    <w:rsid w:val="00993419"/>
    <w:rsid w:val="009940A8"/>
    <w:rsid w:val="00995AEC"/>
    <w:rsid w:val="009A1FFE"/>
    <w:rsid w:val="009A5029"/>
    <w:rsid w:val="009A65FF"/>
    <w:rsid w:val="009B0A3C"/>
    <w:rsid w:val="009B3966"/>
    <w:rsid w:val="009B40E3"/>
    <w:rsid w:val="009B6025"/>
    <w:rsid w:val="009C2B8E"/>
    <w:rsid w:val="009C404F"/>
    <w:rsid w:val="009C62C3"/>
    <w:rsid w:val="009D1E3B"/>
    <w:rsid w:val="009D2FBA"/>
    <w:rsid w:val="009D3D31"/>
    <w:rsid w:val="009D469A"/>
    <w:rsid w:val="009D580E"/>
    <w:rsid w:val="009E0683"/>
    <w:rsid w:val="009E2077"/>
    <w:rsid w:val="009E7E23"/>
    <w:rsid w:val="009F076A"/>
    <w:rsid w:val="009F3C4A"/>
    <w:rsid w:val="009F3EDF"/>
    <w:rsid w:val="009F660A"/>
    <w:rsid w:val="00A00377"/>
    <w:rsid w:val="00A03A49"/>
    <w:rsid w:val="00A04CEE"/>
    <w:rsid w:val="00A05ED3"/>
    <w:rsid w:val="00A163A3"/>
    <w:rsid w:val="00A176EE"/>
    <w:rsid w:val="00A20BFC"/>
    <w:rsid w:val="00A22570"/>
    <w:rsid w:val="00A225BF"/>
    <w:rsid w:val="00A227B8"/>
    <w:rsid w:val="00A23CA5"/>
    <w:rsid w:val="00A25FA5"/>
    <w:rsid w:val="00A27D70"/>
    <w:rsid w:val="00A30A43"/>
    <w:rsid w:val="00A33885"/>
    <w:rsid w:val="00A33B12"/>
    <w:rsid w:val="00A34C7E"/>
    <w:rsid w:val="00A372E1"/>
    <w:rsid w:val="00A378F0"/>
    <w:rsid w:val="00A409F9"/>
    <w:rsid w:val="00A411CE"/>
    <w:rsid w:val="00A44877"/>
    <w:rsid w:val="00A46A62"/>
    <w:rsid w:val="00A5259C"/>
    <w:rsid w:val="00A55E19"/>
    <w:rsid w:val="00A560C8"/>
    <w:rsid w:val="00A61CE6"/>
    <w:rsid w:val="00A62914"/>
    <w:rsid w:val="00A64CB8"/>
    <w:rsid w:val="00A64E9C"/>
    <w:rsid w:val="00A66B91"/>
    <w:rsid w:val="00A7264B"/>
    <w:rsid w:val="00A80947"/>
    <w:rsid w:val="00A81D53"/>
    <w:rsid w:val="00A834AE"/>
    <w:rsid w:val="00A83A76"/>
    <w:rsid w:val="00A83C0A"/>
    <w:rsid w:val="00A85C75"/>
    <w:rsid w:val="00A878C5"/>
    <w:rsid w:val="00A909C0"/>
    <w:rsid w:val="00A950CD"/>
    <w:rsid w:val="00A96176"/>
    <w:rsid w:val="00A973E0"/>
    <w:rsid w:val="00A97D40"/>
    <w:rsid w:val="00AA0956"/>
    <w:rsid w:val="00AA5F95"/>
    <w:rsid w:val="00AA6648"/>
    <w:rsid w:val="00AA6EC8"/>
    <w:rsid w:val="00AB1225"/>
    <w:rsid w:val="00AB2326"/>
    <w:rsid w:val="00AC09C4"/>
    <w:rsid w:val="00AC1B98"/>
    <w:rsid w:val="00AC2745"/>
    <w:rsid w:val="00AC2931"/>
    <w:rsid w:val="00AC5176"/>
    <w:rsid w:val="00AC5645"/>
    <w:rsid w:val="00AD21DE"/>
    <w:rsid w:val="00AD4EAA"/>
    <w:rsid w:val="00AD5B11"/>
    <w:rsid w:val="00AD73E9"/>
    <w:rsid w:val="00AE1455"/>
    <w:rsid w:val="00AE420E"/>
    <w:rsid w:val="00AE4B2B"/>
    <w:rsid w:val="00AE5348"/>
    <w:rsid w:val="00AE756E"/>
    <w:rsid w:val="00AF2310"/>
    <w:rsid w:val="00AF4EEE"/>
    <w:rsid w:val="00AF652D"/>
    <w:rsid w:val="00B04869"/>
    <w:rsid w:val="00B0592A"/>
    <w:rsid w:val="00B06568"/>
    <w:rsid w:val="00B06714"/>
    <w:rsid w:val="00B07D1A"/>
    <w:rsid w:val="00B12B6B"/>
    <w:rsid w:val="00B1342C"/>
    <w:rsid w:val="00B149F5"/>
    <w:rsid w:val="00B14D90"/>
    <w:rsid w:val="00B208CE"/>
    <w:rsid w:val="00B20F55"/>
    <w:rsid w:val="00B21CC1"/>
    <w:rsid w:val="00B21FAF"/>
    <w:rsid w:val="00B301D6"/>
    <w:rsid w:val="00B33311"/>
    <w:rsid w:val="00B3771F"/>
    <w:rsid w:val="00B41B5E"/>
    <w:rsid w:val="00B429EE"/>
    <w:rsid w:val="00B4605E"/>
    <w:rsid w:val="00B5112D"/>
    <w:rsid w:val="00B5135E"/>
    <w:rsid w:val="00B54F70"/>
    <w:rsid w:val="00B623CB"/>
    <w:rsid w:val="00B63D2D"/>
    <w:rsid w:val="00B65A89"/>
    <w:rsid w:val="00B713CF"/>
    <w:rsid w:val="00B75128"/>
    <w:rsid w:val="00B75130"/>
    <w:rsid w:val="00B7563C"/>
    <w:rsid w:val="00B81EE7"/>
    <w:rsid w:val="00B81FF7"/>
    <w:rsid w:val="00B8287C"/>
    <w:rsid w:val="00B8455F"/>
    <w:rsid w:val="00B84E05"/>
    <w:rsid w:val="00B86F30"/>
    <w:rsid w:val="00B91428"/>
    <w:rsid w:val="00B940F9"/>
    <w:rsid w:val="00B96E47"/>
    <w:rsid w:val="00BA2F2E"/>
    <w:rsid w:val="00BA4AA4"/>
    <w:rsid w:val="00BA4C69"/>
    <w:rsid w:val="00BA63D7"/>
    <w:rsid w:val="00BB1EC4"/>
    <w:rsid w:val="00BB2DA0"/>
    <w:rsid w:val="00BC25FB"/>
    <w:rsid w:val="00BC3A33"/>
    <w:rsid w:val="00BD0670"/>
    <w:rsid w:val="00BE016C"/>
    <w:rsid w:val="00BE0A3A"/>
    <w:rsid w:val="00BE23DB"/>
    <w:rsid w:val="00BE2DC3"/>
    <w:rsid w:val="00BE2E71"/>
    <w:rsid w:val="00BE34B4"/>
    <w:rsid w:val="00BE5862"/>
    <w:rsid w:val="00BF2097"/>
    <w:rsid w:val="00BF3011"/>
    <w:rsid w:val="00BF3317"/>
    <w:rsid w:val="00BF5C49"/>
    <w:rsid w:val="00BF6772"/>
    <w:rsid w:val="00BF7A9B"/>
    <w:rsid w:val="00C00C93"/>
    <w:rsid w:val="00C03AB0"/>
    <w:rsid w:val="00C04F9D"/>
    <w:rsid w:val="00C05172"/>
    <w:rsid w:val="00C06D8C"/>
    <w:rsid w:val="00C105CB"/>
    <w:rsid w:val="00C137A9"/>
    <w:rsid w:val="00C15463"/>
    <w:rsid w:val="00C1664F"/>
    <w:rsid w:val="00C20502"/>
    <w:rsid w:val="00C20525"/>
    <w:rsid w:val="00C207C9"/>
    <w:rsid w:val="00C21C8B"/>
    <w:rsid w:val="00C23119"/>
    <w:rsid w:val="00C27477"/>
    <w:rsid w:val="00C301F0"/>
    <w:rsid w:val="00C30F2B"/>
    <w:rsid w:val="00C34391"/>
    <w:rsid w:val="00C34558"/>
    <w:rsid w:val="00C36D1D"/>
    <w:rsid w:val="00C3782B"/>
    <w:rsid w:val="00C40CD2"/>
    <w:rsid w:val="00C40EFE"/>
    <w:rsid w:val="00C41689"/>
    <w:rsid w:val="00C4376D"/>
    <w:rsid w:val="00C43BEB"/>
    <w:rsid w:val="00C50BE5"/>
    <w:rsid w:val="00C50EEB"/>
    <w:rsid w:val="00C53791"/>
    <w:rsid w:val="00C54956"/>
    <w:rsid w:val="00C54D7B"/>
    <w:rsid w:val="00C556B9"/>
    <w:rsid w:val="00C573E8"/>
    <w:rsid w:val="00C57570"/>
    <w:rsid w:val="00C60858"/>
    <w:rsid w:val="00C61BF0"/>
    <w:rsid w:val="00C624C0"/>
    <w:rsid w:val="00C6326C"/>
    <w:rsid w:val="00C6545E"/>
    <w:rsid w:val="00C661D7"/>
    <w:rsid w:val="00C66F6E"/>
    <w:rsid w:val="00C678BB"/>
    <w:rsid w:val="00C70227"/>
    <w:rsid w:val="00C705E0"/>
    <w:rsid w:val="00C70637"/>
    <w:rsid w:val="00C71FBC"/>
    <w:rsid w:val="00C72D31"/>
    <w:rsid w:val="00C73BE7"/>
    <w:rsid w:val="00C74853"/>
    <w:rsid w:val="00C8258D"/>
    <w:rsid w:val="00C87BDF"/>
    <w:rsid w:val="00C90645"/>
    <w:rsid w:val="00C92000"/>
    <w:rsid w:val="00C95747"/>
    <w:rsid w:val="00C964D9"/>
    <w:rsid w:val="00C96CD2"/>
    <w:rsid w:val="00C96E63"/>
    <w:rsid w:val="00C96FDC"/>
    <w:rsid w:val="00CA2AB8"/>
    <w:rsid w:val="00CA515B"/>
    <w:rsid w:val="00CA6C99"/>
    <w:rsid w:val="00CA71C8"/>
    <w:rsid w:val="00CA7DB6"/>
    <w:rsid w:val="00CB09CC"/>
    <w:rsid w:val="00CB1283"/>
    <w:rsid w:val="00CB38EE"/>
    <w:rsid w:val="00CB3C3C"/>
    <w:rsid w:val="00CB4994"/>
    <w:rsid w:val="00CB50A6"/>
    <w:rsid w:val="00CB642F"/>
    <w:rsid w:val="00CC2562"/>
    <w:rsid w:val="00CC31C9"/>
    <w:rsid w:val="00CC360B"/>
    <w:rsid w:val="00CC4D0B"/>
    <w:rsid w:val="00CC77DC"/>
    <w:rsid w:val="00CC7C1D"/>
    <w:rsid w:val="00CC7F6A"/>
    <w:rsid w:val="00CD1398"/>
    <w:rsid w:val="00CD18CE"/>
    <w:rsid w:val="00CD1E22"/>
    <w:rsid w:val="00CD520A"/>
    <w:rsid w:val="00CD527F"/>
    <w:rsid w:val="00CD5296"/>
    <w:rsid w:val="00CE0B67"/>
    <w:rsid w:val="00CE251C"/>
    <w:rsid w:val="00CE2619"/>
    <w:rsid w:val="00CE563F"/>
    <w:rsid w:val="00CE595F"/>
    <w:rsid w:val="00CE64F1"/>
    <w:rsid w:val="00CE6674"/>
    <w:rsid w:val="00CF00FC"/>
    <w:rsid w:val="00CF215D"/>
    <w:rsid w:val="00CF5CF2"/>
    <w:rsid w:val="00CF6FB0"/>
    <w:rsid w:val="00D059D3"/>
    <w:rsid w:val="00D100C6"/>
    <w:rsid w:val="00D107F5"/>
    <w:rsid w:val="00D1230D"/>
    <w:rsid w:val="00D1267B"/>
    <w:rsid w:val="00D12816"/>
    <w:rsid w:val="00D14BDC"/>
    <w:rsid w:val="00D1760F"/>
    <w:rsid w:val="00D22498"/>
    <w:rsid w:val="00D25C0B"/>
    <w:rsid w:val="00D323A6"/>
    <w:rsid w:val="00D34193"/>
    <w:rsid w:val="00D34261"/>
    <w:rsid w:val="00D35B2F"/>
    <w:rsid w:val="00D36211"/>
    <w:rsid w:val="00D36627"/>
    <w:rsid w:val="00D374DC"/>
    <w:rsid w:val="00D41EC1"/>
    <w:rsid w:val="00D45E7E"/>
    <w:rsid w:val="00D46B14"/>
    <w:rsid w:val="00D47E00"/>
    <w:rsid w:val="00D50166"/>
    <w:rsid w:val="00D55CEC"/>
    <w:rsid w:val="00D56E4D"/>
    <w:rsid w:val="00D5718B"/>
    <w:rsid w:val="00D6128A"/>
    <w:rsid w:val="00D61DE3"/>
    <w:rsid w:val="00D634CC"/>
    <w:rsid w:val="00D676D8"/>
    <w:rsid w:val="00D71A25"/>
    <w:rsid w:val="00D71C59"/>
    <w:rsid w:val="00D72A12"/>
    <w:rsid w:val="00D73BB0"/>
    <w:rsid w:val="00D74243"/>
    <w:rsid w:val="00D804EB"/>
    <w:rsid w:val="00D8052B"/>
    <w:rsid w:val="00D815D9"/>
    <w:rsid w:val="00D83614"/>
    <w:rsid w:val="00D86F28"/>
    <w:rsid w:val="00D8704E"/>
    <w:rsid w:val="00D8712C"/>
    <w:rsid w:val="00D9075F"/>
    <w:rsid w:val="00D909DC"/>
    <w:rsid w:val="00D96E09"/>
    <w:rsid w:val="00DA7BF3"/>
    <w:rsid w:val="00DB20EB"/>
    <w:rsid w:val="00DB79E1"/>
    <w:rsid w:val="00DC748C"/>
    <w:rsid w:val="00DD30F9"/>
    <w:rsid w:val="00DD52AA"/>
    <w:rsid w:val="00DE51D1"/>
    <w:rsid w:val="00DE6B80"/>
    <w:rsid w:val="00DE6D32"/>
    <w:rsid w:val="00DF1F04"/>
    <w:rsid w:val="00DF5A69"/>
    <w:rsid w:val="00DF5C12"/>
    <w:rsid w:val="00DF5FD0"/>
    <w:rsid w:val="00DF617A"/>
    <w:rsid w:val="00DF7873"/>
    <w:rsid w:val="00E00A80"/>
    <w:rsid w:val="00E0346C"/>
    <w:rsid w:val="00E03706"/>
    <w:rsid w:val="00E03F95"/>
    <w:rsid w:val="00E07B85"/>
    <w:rsid w:val="00E110F5"/>
    <w:rsid w:val="00E110FD"/>
    <w:rsid w:val="00E11749"/>
    <w:rsid w:val="00E16223"/>
    <w:rsid w:val="00E1758E"/>
    <w:rsid w:val="00E210A9"/>
    <w:rsid w:val="00E2334B"/>
    <w:rsid w:val="00E27857"/>
    <w:rsid w:val="00E279E6"/>
    <w:rsid w:val="00E314C9"/>
    <w:rsid w:val="00E31FFD"/>
    <w:rsid w:val="00E32334"/>
    <w:rsid w:val="00E33AA3"/>
    <w:rsid w:val="00E33B5B"/>
    <w:rsid w:val="00E33DDB"/>
    <w:rsid w:val="00E33FDE"/>
    <w:rsid w:val="00E35C9D"/>
    <w:rsid w:val="00E3603B"/>
    <w:rsid w:val="00E3741F"/>
    <w:rsid w:val="00E376E9"/>
    <w:rsid w:val="00E41348"/>
    <w:rsid w:val="00E4217F"/>
    <w:rsid w:val="00E429D1"/>
    <w:rsid w:val="00E42DC8"/>
    <w:rsid w:val="00E44CCA"/>
    <w:rsid w:val="00E532B1"/>
    <w:rsid w:val="00E56A36"/>
    <w:rsid w:val="00E61FEF"/>
    <w:rsid w:val="00E631C4"/>
    <w:rsid w:val="00E63BF5"/>
    <w:rsid w:val="00E63CE2"/>
    <w:rsid w:val="00E67727"/>
    <w:rsid w:val="00E7046C"/>
    <w:rsid w:val="00E723F4"/>
    <w:rsid w:val="00E7323A"/>
    <w:rsid w:val="00E76223"/>
    <w:rsid w:val="00E82120"/>
    <w:rsid w:val="00E867BF"/>
    <w:rsid w:val="00E94039"/>
    <w:rsid w:val="00E974D7"/>
    <w:rsid w:val="00EA0F80"/>
    <w:rsid w:val="00EA1318"/>
    <w:rsid w:val="00EA1905"/>
    <w:rsid w:val="00EA2D96"/>
    <w:rsid w:val="00EA5E54"/>
    <w:rsid w:val="00EA6434"/>
    <w:rsid w:val="00EB7261"/>
    <w:rsid w:val="00EC0F7B"/>
    <w:rsid w:val="00EC14D3"/>
    <w:rsid w:val="00EC3B37"/>
    <w:rsid w:val="00EC7C81"/>
    <w:rsid w:val="00ED0862"/>
    <w:rsid w:val="00ED1138"/>
    <w:rsid w:val="00ED174C"/>
    <w:rsid w:val="00ED22AE"/>
    <w:rsid w:val="00ED2950"/>
    <w:rsid w:val="00EE1F0F"/>
    <w:rsid w:val="00EE233A"/>
    <w:rsid w:val="00EE47C2"/>
    <w:rsid w:val="00EE6B98"/>
    <w:rsid w:val="00EE75B4"/>
    <w:rsid w:val="00EF15F7"/>
    <w:rsid w:val="00EF3103"/>
    <w:rsid w:val="00EF38D6"/>
    <w:rsid w:val="00EF3D2A"/>
    <w:rsid w:val="00EF41CD"/>
    <w:rsid w:val="00EF56BD"/>
    <w:rsid w:val="00F01F71"/>
    <w:rsid w:val="00F03526"/>
    <w:rsid w:val="00F047F8"/>
    <w:rsid w:val="00F07240"/>
    <w:rsid w:val="00F11B13"/>
    <w:rsid w:val="00F11B6C"/>
    <w:rsid w:val="00F1269E"/>
    <w:rsid w:val="00F15BA2"/>
    <w:rsid w:val="00F17A8D"/>
    <w:rsid w:val="00F23116"/>
    <w:rsid w:val="00F278E8"/>
    <w:rsid w:val="00F31835"/>
    <w:rsid w:val="00F32B66"/>
    <w:rsid w:val="00F416F9"/>
    <w:rsid w:val="00F4216D"/>
    <w:rsid w:val="00F45878"/>
    <w:rsid w:val="00F467A3"/>
    <w:rsid w:val="00F47C9D"/>
    <w:rsid w:val="00F51D80"/>
    <w:rsid w:val="00F54B0E"/>
    <w:rsid w:val="00F551F0"/>
    <w:rsid w:val="00F55FB5"/>
    <w:rsid w:val="00F61E65"/>
    <w:rsid w:val="00F63680"/>
    <w:rsid w:val="00F64D16"/>
    <w:rsid w:val="00F650E3"/>
    <w:rsid w:val="00F6542B"/>
    <w:rsid w:val="00F66145"/>
    <w:rsid w:val="00F6744E"/>
    <w:rsid w:val="00F71A35"/>
    <w:rsid w:val="00F736E7"/>
    <w:rsid w:val="00F7486E"/>
    <w:rsid w:val="00F7718A"/>
    <w:rsid w:val="00F838DD"/>
    <w:rsid w:val="00F8490A"/>
    <w:rsid w:val="00F85EB8"/>
    <w:rsid w:val="00F87212"/>
    <w:rsid w:val="00F942B4"/>
    <w:rsid w:val="00F9784F"/>
    <w:rsid w:val="00FA0FEC"/>
    <w:rsid w:val="00FA4964"/>
    <w:rsid w:val="00FA4FA4"/>
    <w:rsid w:val="00FA7D4D"/>
    <w:rsid w:val="00FB3A05"/>
    <w:rsid w:val="00FB5594"/>
    <w:rsid w:val="00FB5A1A"/>
    <w:rsid w:val="00FB64B1"/>
    <w:rsid w:val="00FB6A83"/>
    <w:rsid w:val="00FB77C3"/>
    <w:rsid w:val="00FC0594"/>
    <w:rsid w:val="00FC0D15"/>
    <w:rsid w:val="00FC19EF"/>
    <w:rsid w:val="00FC47C7"/>
    <w:rsid w:val="00FC5F1D"/>
    <w:rsid w:val="00FC65D3"/>
    <w:rsid w:val="00FC7140"/>
    <w:rsid w:val="00FC782A"/>
    <w:rsid w:val="00FD12F4"/>
    <w:rsid w:val="00FD38AF"/>
    <w:rsid w:val="00FD6392"/>
    <w:rsid w:val="00FE6789"/>
    <w:rsid w:val="00FE7F30"/>
    <w:rsid w:val="00FF2852"/>
    <w:rsid w:val="00FF3542"/>
    <w:rsid w:val="00FF4DCC"/>
    <w:rsid w:val="00FF50A7"/>
    <w:rsid w:val="00FF6AE8"/>
    <w:rsid w:val="00FF792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5AD8BC"/>
  <w15:docId w15:val="{DBAD1333-0A78-4A0F-99A8-7AE678B7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3C"/>
    <w:pPr>
      <w:spacing w:line="256" w:lineRule="auto"/>
    </w:pPr>
  </w:style>
  <w:style w:type="paragraph" w:styleId="Heading1">
    <w:name w:val="heading 1"/>
    <w:basedOn w:val="Normal"/>
    <w:next w:val="Normal"/>
    <w:link w:val="Heading1Char"/>
    <w:uiPriority w:val="9"/>
    <w:qFormat/>
    <w:rsid w:val="009E2077"/>
    <w:pPr>
      <w:keepNext/>
      <w:keepLines/>
      <w:pageBreakBefore/>
      <w:numPr>
        <w:numId w:val="1"/>
      </w:numPr>
      <w:spacing w:after="0" w:line="240" w:lineRule="auto"/>
      <w:ind w:left="567" w:hanging="567"/>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3538CE"/>
    <w:pPr>
      <w:keepNext/>
      <w:keepLines/>
      <w:numPr>
        <w:ilvl w:val="1"/>
        <w:numId w:val="1"/>
      </w:numPr>
      <w:spacing w:after="0" w:line="240" w:lineRule="auto"/>
      <w:ind w:left="567" w:hanging="567"/>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20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0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7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538CE"/>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20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0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0C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0C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0C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C3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C7140"/>
    <w:rPr>
      <w:rFonts w:ascii="Arial" w:hAnsi="Arial"/>
      <w:color w:val="0000FF"/>
      <w:sz w:val="20"/>
      <w:u w:val="single"/>
    </w:rPr>
  </w:style>
  <w:style w:type="paragraph" w:styleId="TOC1">
    <w:name w:val="toc 1"/>
    <w:basedOn w:val="Normal"/>
    <w:next w:val="Normal"/>
    <w:autoRedefine/>
    <w:uiPriority w:val="39"/>
    <w:unhideWhenUsed/>
    <w:rsid w:val="005B7CE2"/>
    <w:pPr>
      <w:spacing w:after="0" w:line="240" w:lineRule="auto"/>
      <w:ind w:left="567" w:hanging="567"/>
    </w:pPr>
    <w:rPr>
      <w:rFonts w:ascii="Arial" w:hAnsi="Arial"/>
      <w:b/>
      <w:sz w:val="24"/>
    </w:rPr>
  </w:style>
  <w:style w:type="paragraph" w:styleId="ListParagraph">
    <w:name w:val="List Paragraph"/>
    <w:basedOn w:val="Normal"/>
    <w:uiPriority w:val="34"/>
    <w:qFormat/>
    <w:rsid w:val="003538CE"/>
    <w:pPr>
      <w:spacing w:after="200" w:line="276" w:lineRule="auto"/>
      <w:ind w:left="720"/>
      <w:contextualSpacing/>
    </w:pPr>
    <w:rPr>
      <w:rFonts w:ascii="Calibri" w:eastAsiaTheme="minorEastAsia" w:hAnsi="Calibri" w:cstheme="minorHAnsi"/>
      <w:lang w:eastAsia="zh-CN"/>
    </w:rPr>
  </w:style>
  <w:style w:type="paragraph" w:styleId="Header">
    <w:name w:val="header"/>
    <w:basedOn w:val="Normal"/>
    <w:link w:val="HeaderChar"/>
    <w:uiPriority w:val="99"/>
    <w:unhideWhenUsed/>
    <w:rsid w:val="00ED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50"/>
  </w:style>
  <w:style w:type="paragraph" w:styleId="FootnoteText">
    <w:name w:val="footnote text"/>
    <w:basedOn w:val="Normal"/>
    <w:link w:val="FootnoteTextChar"/>
    <w:uiPriority w:val="99"/>
    <w:unhideWhenUsed/>
    <w:rsid w:val="00CC31C9"/>
    <w:pPr>
      <w:spacing w:after="0" w:line="240" w:lineRule="auto"/>
    </w:pPr>
    <w:rPr>
      <w:sz w:val="20"/>
      <w:szCs w:val="20"/>
    </w:rPr>
  </w:style>
  <w:style w:type="character" w:customStyle="1" w:styleId="FootnoteTextChar">
    <w:name w:val="Footnote Text Char"/>
    <w:basedOn w:val="DefaultParagraphFont"/>
    <w:link w:val="FootnoteText"/>
    <w:uiPriority w:val="99"/>
    <w:rsid w:val="00CC31C9"/>
    <w:rPr>
      <w:sz w:val="20"/>
      <w:szCs w:val="20"/>
    </w:rPr>
  </w:style>
  <w:style w:type="character" w:styleId="FootnoteReference">
    <w:name w:val="footnote reference"/>
    <w:aliases w:val="Fn Ref"/>
    <w:basedOn w:val="DefaultParagraphFont"/>
    <w:unhideWhenUsed/>
    <w:qFormat/>
    <w:rsid w:val="00CC31C9"/>
    <w:rPr>
      <w:vertAlign w:val="superscript"/>
    </w:rPr>
  </w:style>
  <w:style w:type="table" w:styleId="TableGrid">
    <w:name w:val="Table Grid"/>
    <w:basedOn w:val="TableNormal"/>
    <w:uiPriority w:val="39"/>
    <w:rsid w:val="00B91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2D96"/>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EA2D96"/>
    <w:rPr>
      <w:b/>
      <w:bCs/>
    </w:rPr>
  </w:style>
  <w:style w:type="paragraph" w:styleId="BalloonText">
    <w:name w:val="Balloon Text"/>
    <w:basedOn w:val="Normal"/>
    <w:link w:val="BalloonTextChar"/>
    <w:uiPriority w:val="99"/>
    <w:semiHidden/>
    <w:unhideWhenUsed/>
    <w:rsid w:val="00C4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CD2"/>
    <w:rPr>
      <w:rFonts w:ascii="Tahoma" w:hAnsi="Tahoma" w:cs="Tahoma"/>
      <w:sz w:val="16"/>
      <w:szCs w:val="16"/>
    </w:rPr>
  </w:style>
  <w:style w:type="paragraph" w:customStyle="1" w:styleId="Default">
    <w:name w:val="Default"/>
    <w:rsid w:val="001164F3"/>
    <w:pPr>
      <w:autoSpaceDE w:val="0"/>
      <w:autoSpaceDN w:val="0"/>
      <w:adjustRightInd w:val="0"/>
      <w:spacing w:after="0" w:line="240" w:lineRule="auto"/>
    </w:pPr>
    <w:rPr>
      <w:rFonts w:ascii="Times New Roman" w:hAnsi="Times New Roman" w:cs="Times New Roman"/>
      <w:color w:val="000000"/>
      <w:sz w:val="24"/>
      <w:szCs w:val="24"/>
      <w:lang w:val="hu-HU"/>
    </w:rPr>
  </w:style>
  <w:style w:type="character" w:styleId="CommentReference">
    <w:name w:val="annotation reference"/>
    <w:uiPriority w:val="99"/>
    <w:semiHidden/>
    <w:unhideWhenUsed/>
    <w:rsid w:val="00297521"/>
    <w:rPr>
      <w:sz w:val="16"/>
      <w:szCs w:val="16"/>
    </w:rPr>
  </w:style>
  <w:style w:type="paragraph" w:styleId="CommentText">
    <w:name w:val="annotation text"/>
    <w:basedOn w:val="Normal"/>
    <w:link w:val="CommentTextChar"/>
    <w:uiPriority w:val="99"/>
    <w:semiHidden/>
    <w:unhideWhenUsed/>
    <w:rsid w:val="0029752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297521"/>
    <w:rPr>
      <w:rFonts w:ascii="Arial" w:eastAsia="Times New Roman" w:hAnsi="Arial" w:cs="Times New Roman"/>
      <w:sz w:val="20"/>
      <w:szCs w:val="20"/>
    </w:rPr>
  </w:style>
  <w:style w:type="character" w:customStyle="1" w:styleId="apple-converted-space">
    <w:name w:val="apple-converted-space"/>
    <w:basedOn w:val="DefaultParagraphFont"/>
    <w:rsid w:val="0092584C"/>
  </w:style>
  <w:style w:type="character" w:styleId="FollowedHyperlink">
    <w:name w:val="FollowedHyperlink"/>
    <w:basedOn w:val="DefaultParagraphFont"/>
    <w:uiPriority w:val="99"/>
    <w:semiHidden/>
    <w:unhideWhenUsed/>
    <w:rsid w:val="00163C28"/>
    <w:rPr>
      <w:color w:val="954F72" w:themeColor="followedHyperlink"/>
      <w:u w:val="single"/>
    </w:rPr>
  </w:style>
  <w:style w:type="paragraph" w:customStyle="1" w:styleId="RM">
    <w:name w:val="RM"/>
    <w:basedOn w:val="FootnoteText"/>
    <w:link w:val="RMChar"/>
    <w:qFormat/>
    <w:rsid w:val="008755BA"/>
    <w:pPr>
      <w:ind w:left="284" w:hanging="284"/>
    </w:pPr>
    <w:rPr>
      <w:rFonts w:ascii="Arial" w:hAnsi="Arial" w:cs="Arial"/>
      <w:lang w:val="hu-HU"/>
    </w:rPr>
  </w:style>
  <w:style w:type="character" w:styleId="UnresolvedMention">
    <w:name w:val="Unresolved Mention"/>
    <w:basedOn w:val="DefaultParagraphFont"/>
    <w:uiPriority w:val="99"/>
    <w:semiHidden/>
    <w:unhideWhenUsed/>
    <w:rsid w:val="00FC7140"/>
    <w:rPr>
      <w:color w:val="808080"/>
      <w:shd w:val="clear" w:color="auto" w:fill="E6E6E6"/>
    </w:rPr>
  </w:style>
  <w:style w:type="character" w:customStyle="1" w:styleId="RMChar">
    <w:name w:val="RM Char"/>
    <w:basedOn w:val="FootnoteTextChar"/>
    <w:link w:val="RM"/>
    <w:rsid w:val="008755BA"/>
    <w:rPr>
      <w:rFonts w:ascii="Arial" w:hAnsi="Arial" w:cs="Arial"/>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93092">
      <w:bodyDiv w:val="1"/>
      <w:marLeft w:val="0"/>
      <w:marRight w:val="0"/>
      <w:marTop w:val="0"/>
      <w:marBottom w:val="0"/>
      <w:divBdr>
        <w:top w:val="none" w:sz="0" w:space="0" w:color="auto"/>
        <w:left w:val="none" w:sz="0" w:space="0" w:color="auto"/>
        <w:bottom w:val="none" w:sz="0" w:space="0" w:color="auto"/>
        <w:right w:val="none" w:sz="0" w:space="0" w:color="auto"/>
      </w:divBdr>
    </w:div>
    <w:div w:id="927810329">
      <w:bodyDiv w:val="1"/>
      <w:marLeft w:val="0"/>
      <w:marRight w:val="0"/>
      <w:marTop w:val="0"/>
      <w:marBottom w:val="0"/>
      <w:divBdr>
        <w:top w:val="none" w:sz="0" w:space="0" w:color="auto"/>
        <w:left w:val="none" w:sz="0" w:space="0" w:color="auto"/>
        <w:bottom w:val="none" w:sz="0" w:space="0" w:color="auto"/>
        <w:right w:val="none" w:sz="0" w:space="0" w:color="auto"/>
      </w:divBdr>
    </w:div>
    <w:div w:id="15932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jusagigarancia.h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fjusagigarancia.hu" TargetMode="External"/><Relationship Id="rId18" Type="http://schemas.openxmlformats.org/officeDocument/2006/relationships/hyperlink" Target="http://njt.hu/cgi_bin/njt_doc.cgi?docid=157752.332959" TargetMode="External"/><Relationship Id="rId26" Type="http://schemas.openxmlformats.org/officeDocument/2006/relationships/hyperlink" Target="http://njt.hu/cgi_bin/njt_doc.cgi?docid=139197.328165" TargetMode="External"/><Relationship Id="rId39" Type="http://schemas.openxmlformats.org/officeDocument/2006/relationships/hyperlink" Target="http://njt.hu/cgi_bin/njt_doc.cgi?docid=17120.222321" TargetMode="External"/><Relationship Id="rId3" Type="http://schemas.openxmlformats.org/officeDocument/2006/relationships/hyperlink" Target="http://www.kormany.hu/download/3/28/a0000/Kozneveles_statisztikai_evkonyv_2014.pdf" TargetMode="External"/><Relationship Id="rId21" Type="http://schemas.openxmlformats.org/officeDocument/2006/relationships/hyperlink" Target="http://salvavita.hu/en/" TargetMode="External"/><Relationship Id="rId34" Type="http://schemas.openxmlformats.org/officeDocument/2006/relationships/hyperlink" Target="http://www.kormanyhivatal.hu/download/4/fc/d2000/EFOP%20111%20t%C3%A1j%C3%A9koztat%C3%B3_20160725.docx" TargetMode="External"/><Relationship Id="rId42" Type="http://schemas.openxmlformats.org/officeDocument/2006/relationships/hyperlink" Target="http://njt.hu/cgi_bin/njt_doc.cgi?docid=139759.332630" TargetMode="External"/><Relationship Id="rId47" Type="http://schemas.openxmlformats.org/officeDocument/2006/relationships/hyperlink" Target="http://njt.hu/cgi_bin/njt_doc.cgi?docid=118625.330304" TargetMode="External"/><Relationship Id="rId50" Type="http://schemas.openxmlformats.org/officeDocument/2006/relationships/hyperlink" Target="http://njt.hu/cgi_bin/njt_doc.cgi?docid=30337.329291" TargetMode="External"/><Relationship Id="rId7" Type="http://schemas.openxmlformats.org/officeDocument/2006/relationships/hyperlink" Target="http://observatory.org.hu/igy-valtozott-a-szakkepzes-a-2015-majusi-torvenymodositasok-nyoman/" TargetMode="External"/><Relationship Id="rId12" Type="http://schemas.openxmlformats.org/officeDocument/2006/relationships/hyperlink" Target="http://nfsz.munka.hu/engine.aspx?page=GINOP_G521" TargetMode="External"/><Relationship Id="rId17" Type="http://schemas.openxmlformats.org/officeDocument/2006/relationships/hyperlink" Target="http://njt.hu/cgi_bin/njt_doc.cgi?docid=154929.229239" TargetMode="External"/><Relationship Id="rId25" Type="http://schemas.openxmlformats.org/officeDocument/2006/relationships/hyperlink" Target="http://njt.hu/cgi_bin/njt_doc.cgi?docid=140329.334950" TargetMode="External"/><Relationship Id="rId33" Type="http://schemas.openxmlformats.org/officeDocument/2006/relationships/hyperlink" Target="http://nfsz.munka.hu/engine.aspx?page=full_tamop_tamop111" TargetMode="External"/><Relationship Id="rId38" Type="http://schemas.openxmlformats.org/officeDocument/2006/relationships/hyperlink" Target="http://njt.hu/cgi_bin/njt_doc.cgi?docid=142936.322316" TargetMode="External"/><Relationship Id="rId46" Type="http://schemas.openxmlformats.org/officeDocument/2006/relationships/hyperlink" Target="http://www.ksh.hu/docs/hun/xstadat/xstadat_eves/i_zhc011.html" TargetMode="External"/><Relationship Id="rId2" Type="http://schemas.openxmlformats.org/officeDocument/2006/relationships/hyperlink" Target="http://njt.hu/cgi_bin/njt_doc.cgi?docid=139866.323411" TargetMode="External"/><Relationship Id="rId16" Type="http://schemas.openxmlformats.org/officeDocument/2006/relationships/hyperlink" Target="http://njt.hu/cgi_bin/njt_doc.cgi?docid=154155.333318" TargetMode="External"/><Relationship Id="rId20" Type="http://schemas.openxmlformats.org/officeDocument/2006/relationships/hyperlink" Target="http://dolgoz6ok.hu/english" TargetMode="External"/><Relationship Id="rId29" Type="http://schemas.openxmlformats.org/officeDocument/2006/relationships/hyperlink" Target="https://net.jogtar.hu/jr/gen/hjegy_doc.cgi?docid=a1500036.ngm" TargetMode="External"/><Relationship Id="rId41" Type="http://schemas.openxmlformats.org/officeDocument/2006/relationships/hyperlink" Target="http://njt.hu/cgi_bin/njt_doc.cgi?docid=196082.323548" TargetMode="External"/><Relationship Id="rId1" Type="http://schemas.openxmlformats.org/officeDocument/2006/relationships/hyperlink" Target="http://njt.hu/cgi_bin/njt_doc.cgi?docid=139880.293985" TargetMode="External"/><Relationship Id="rId6" Type="http://schemas.openxmlformats.org/officeDocument/2006/relationships/hyperlink" Target="http://njt.hu/cgi_bin/njt_doc.cgi?docid=174102.289078" TargetMode="External"/><Relationship Id="rId11" Type="http://schemas.openxmlformats.org/officeDocument/2006/relationships/hyperlink" Target="http://nfsz.munka.hu/engine.aspx?page=VEKOP_V821" TargetMode="External"/><Relationship Id="rId24" Type="http://schemas.openxmlformats.org/officeDocument/2006/relationships/hyperlink" Target="https://www.ksh.hu/docs/hun/xftp/idoszaki/regiok/debrecenmiskolcszocialis.pdf" TargetMode="External"/><Relationship Id="rId32" Type="http://schemas.openxmlformats.org/officeDocument/2006/relationships/hyperlink" Target="http://njt.hu/cgi_bin/njt_doc.cgi?docid=155832.330613" TargetMode="External"/><Relationship Id="rId37" Type="http://schemas.openxmlformats.org/officeDocument/2006/relationships/hyperlink" Target="http://njt.hu/cgi_bin/njt_doc.cgi?docid=143164.323148" TargetMode="External"/><Relationship Id="rId40" Type="http://schemas.openxmlformats.org/officeDocument/2006/relationships/hyperlink" Target="http://njt.hu/cgi_bin/njt_doc.cgi?docid=34692.333426" TargetMode="External"/><Relationship Id="rId45" Type="http://schemas.openxmlformats.org/officeDocument/2006/relationships/hyperlink" Target="http://www.ksh.hu/docs/hun/xstadat/xstadat_eves/i_qli041.html" TargetMode="External"/><Relationship Id="rId5" Type="http://schemas.openxmlformats.org/officeDocument/2006/relationships/hyperlink" Target="http://njt.hu/cgi_bin/njt_doc.cgi?docid=142941.329859" TargetMode="External"/><Relationship Id="rId15" Type="http://schemas.openxmlformats.org/officeDocument/2006/relationships/hyperlink" Target="http://www.nive.hu/Downloads/Szakkepzesi_dokumentumok/NFA_KA_fejlesztesi_projektek/A_szakkepzes_szabalyozasa_tajekoztato_fuzet.pdf" TargetMode="External"/><Relationship Id="rId23" Type="http://schemas.openxmlformats.org/officeDocument/2006/relationships/hyperlink" Target="http://njt.hu/cgi_bin/njt_doc.cgi?docid=143912.332807" TargetMode="External"/><Relationship Id="rId28" Type="http://schemas.openxmlformats.org/officeDocument/2006/relationships/hyperlink" Target="http://njt.hu/cgi_bin/njt_doc.cgi?docid=133934.325257" TargetMode="External"/><Relationship Id="rId36" Type="http://schemas.openxmlformats.org/officeDocument/2006/relationships/hyperlink" Target="http://njt.hu/cgi_bin/njt_doc.cgi?docid=14929.328102" TargetMode="External"/><Relationship Id="rId49" Type="http://schemas.openxmlformats.org/officeDocument/2006/relationships/hyperlink" Target="http://njt.hu/cgi_bin/njt_doc.cgi?docid=192083.328943" TargetMode="External"/><Relationship Id="rId10" Type="http://schemas.openxmlformats.org/officeDocument/2006/relationships/hyperlink" Target="http://www.kormany.hu/download/7/6a/e0000/ESL-Cselekv%C3%A9si-terv_20161109.pdf" TargetMode="External"/><Relationship Id="rId19" Type="http://schemas.openxmlformats.org/officeDocument/2006/relationships/hyperlink" Target="http://www.ifjusagigarancia.hu" TargetMode="External"/><Relationship Id="rId31" Type="http://schemas.openxmlformats.org/officeDocument/2006/relationships/hyperlink" Target="http://kozfoglalkoztatas.kormany.hu/download/8/91/51000/K%C3%B6zfoglalkoztat%C3%A1s%20meg%C3%ADt%C3%A9l%C3%A9se%20a%20r%C3%B6vidt%C3%A1v%C3%BA%20munkaer%C5%91-piaci%20progn%C3%B3zis%20alapj%C3%A1n.pdf" TargetMode="External"/><Relationship Id="rId44" Type="http://schemas.openxmlformats.org/officeDocument/2006/relationships/hyperlink" Target="http://www.liganet.hu/news/9240/httranyag_a_2017-vre_szl_brtrgyalsokhoz.pdf" TargetMode="External"/><Relationship Id="rId52" Type="http://schemas.openxmlformats.org/officeDocument/2006/relationships/hyperlink" Target="http://www.ohchr.org/EN/HRBodies/CRPD/Pages/DGCArticles12And9.aspx" TargetMode="External"/><Relationship Id="rId4" Type="http://schemas.openxmlformats.org/officeDocument/2006/relationships/hyperlink" Target="https://en.wikipedia.org/wiki/International_Standard_Classification_of_Education" TargetMode="External"/><Relationship Id="rId9" Type="http://schemas.openxmlformats.org/officeDocument/2006/relationships/hyperlink" Target="http://www.kormany.hu/download/f/10/10000/Ifj%C3%BAs%C3%A1gi%20Garancia%20Akci%C3%B3terv_HU_20140411.pdf" TargetMode="External"/><Relationship Id="rId14" Type="http://schemas.openxmlformats.org/officeDocument/2006/relationships/hyperlink" Target="http://njt.hu/cgi_bin/njt_doc.cgi?docid=139651.323135" TargetMode="External"/><Relationship Id="rId22" Type="http://schemas.openxmlformats.org/officeDocument/2006/relationships/hyperlink" Target="http://njt.hu/cgi_bin/njt_doc.cgi?docid=139884.314726" TargetMode="External"/><Relationship Id="rId27" Type="http://schemas.openxmlformats.org/officeDocument/2006/relationships/hyperlink" Target="http://njt.hu/cgi_bin/njt_doc.cgi?docid=139759.332630" TargetMode="External"/><Relationship Id="rId30" Type="http://schemas.openxmlformats.org/officeDocument/2006/relationships/hyperlink" Target="http://njt.hu/cgi_bin/njt_doc.cgi?docid=18618.316656" TargetMode="External"/><Relationship Id="rId35" Type="http://schemas.openxmlformats.org/officeDocument/2006/relationships/hyperlink" Target="http://njt.hu/cgi_bin/njt_doc.cgi?docid=85785.331905" TargetMode="External"/><Relationship Id="rId43" Type="http://schemas.openxmlformats.org/officeDocument/2006/relationships/hyperlink" Target="http://www.kormanyhivatal.hu/download/4/da/43000/Mi%20mennyi%202017.pdf" TargetMode="External"/><Relationship Id="rId48" Type="http://schemas.openxmlformats.org/officeDocument/2006/relationships/hyperlink" Target="http://njt.hu/cgi_bin/njt_doc.cgi?docid=199327.334605" TargetMode="External"/><Relationship Id="rId8" Type="http://schemas.openxmlformats.org/officeDocument/2006/relationships/hyperlink" Target="http://csmkik.hu/hu/szakkepzes/cikkek/megjelentek-a-szakkepzes-egeszet-erinto-jogszabalymodositasok-83581" TargetMode="External"/><Relationship Id="rId51" Type="http://schemas.openxmlformats.org/officeDocument/2006/relationships/hyperlink" Target="http://njt.hu/cgi_bin/njt_doc.cgi?docid=47767.335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B268-FD94-4029-8D4E-8F85E32D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9188</Words>
  <Characters>50534</Characters>
  <Application>Microsoft Office Word</Application>
  <DocSecurity>0</DocSecurity>
  <Lines>421</Lines>
  <Paragraphs>119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59603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Ivette</dc:creator>
  <cp:lastModifiedBy>Rebecca van Midden</cp:lastModifiedBy>
  <cp:revision>5</cp:revision>
  <cp:lastPrinted>2017-05-26T10:49:00Z</cp:lastPrinted>
  <dcterms:created xsi:type="dcterms:W3CDTF">2017-12-21T09:51:00Z</dcterms:created>
  <dcterms:modified xsi:type="dcterms:W3CDTF">2018-04-04T13:25:00Z</dcterms:modified>
</cp:coreProperties>
</file>